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A9AC" w14:textId="7BE53260" w:rsidR="00216E58" w:rsidRDefault="00216E58" w:rsidP="00D53B2F">
      <w:pPr>
        <w:widowControl w:val="0"/>
        <w:spacing w:before="60" w:line="264" w:lineRule="auto"/>
        <w:jc w:val="center"/>
        <w:rPr>
          <w:b/>
          <w:color w:val="000000"/>
          <w:sz w:val="28"/>
          <w:szCs w:val="28"/>
        </w:rPr>
      </w:pPr>
      <w:r>
        <w:rPr>
          <w:b/>
          <w:color w:val="000000"/>
          <w:sz w:val="28"/>
          <w:szCs w:val="28"/>
        </w:rPr>
        <w:t>Phụ lục</w:t>
      </w:r>
    </w:p>
    <w:p w14:paraId="774DC300" w14:textId="606EC315" w:rsidR="00DF6E96" w:rsidRDefault="00500B1A" w:rsidP="00D53B2F">
      <w:pPr>
        <w:widowControl w:val="0"/>
        <w:spacing w:before="60" w:line="264" w:lineRule="auto"/>
        <w:jc w:val="center"/>
        <w:rPr>
          <w:b/>
          <w:color w:val="000000"/>
          <w:sz w:val="28"/>
          <w:szCs w:val="28"/>
        </w:rPr>
      </w:pPr>
      <w:r w:rsidRPr="00DF6E96">
        <w:rPr>
          <w:b/>
          <w:color w:val="000000"/>
          <w:sz w:val="28"/>
          <w:szCs w:val="28"/>
        </w:rPr>
        <w:t xml:space="preserve">DANH MỤC </w:t>
      </w:r>
      <w:r w:rsidRPr="00DF6E96">
        <w:rPr>
          <w:b/>
          <w:color w:val="000000"/>
          <w:sz w:val="28"/>
          <w:szCs w:val="28"/>
          <w:lang w:val="vi-VN"/>
        </w:rPr>
        <w:t xml:space="preserve">THỦ TỤC HÀNH CHÍNH </w:t>
      </w:r>
      <w:r w:rsidR="00D25421">
        <w:rPr>
          <w:b/>
          <w:color w:val="000000"/>
          <w:sz w:val="28"/>
          <w:szCs w:val="28"/>
        </w:rPr>
        <w:t>BỊ</w:t>
      </w:r>
      <w:r w:rsidR="00EC4FC1" w:rsidRPr="00DF6E96">
        <w:rPr>
          <w:b/>
          <w:color w:val="000000"/>
          <w:sz w:val="28"/>
          <w:szCs w:val="28"/>
        </w:rPr>
        <w:t xml:space="preserve"> BÃI BỎ </w:t>
      </w:r>
      <w:r w:rsidRPr="00DF6E96">
        <w:rPr>
          <w:b/>
          <w:color w:val="000000"/>
          <w:sz w:val="28"/>
          <w:szCs w:val="28"/>
        </w:rPr>
        <w:t>LĨNH</w:t>
      </w:r>
      <w:r w:rsidR="00DF6E96" w:rsidRPr="00DF6E96">
        <w:rPr>
          <w:b/>
          <w:color w:val="000000"/>
          <w:sz w:val="28"/>
          <w:szCs w:val="28"/>
        </w:rPr>
        <w:t xml:space="preserve"> </w:t>
      </w:r>
      <w:r w:rsidR="00D25421">
        <w:rPr>
          <w:b/>
          <w:color w:val="000000"/>
          <w:sz w:val="28"/>
          <w:szCs w:val="28"/>
        </w:rPr>
        <w:t>VỰC QUẢN LÝ XÂY DỰNG CÔNG TRÌNH</w:t>
      </w:r>
    </w:p>
    <w:p w14:paraId="1F244C1E" w14:textId="77777777" w:rsidR="00D25421" w:rsidRDefault="00500B1A" w:rsidP="00D53B2F">
      <w:pPr>
        <w:widowControl w:val="0"/>
        <w:spacing w:before="60" w:line="264" w:lineRule="auto"/>
        <w:jc w:val="center"/>
        <w:rPr>
          <w:b/>
          <w:color w:val="000000"/>
          <w:sz w:val="28"/>
          <w:szCs w:val="28"/>
        </w:rPr>
      </w:pPr>
      <w:r w:rsidRPr="00DF6E96">
        <w:rPr>
          <w:b/>
          <w:color w:val="000000"/>
          <w:sz w:val="28"/>
          <w:szCs w:val="28"/>
        </w:rPr>
        <w:t xml:space="preserve">THUỘC </w:t>
      </w:r>
      <w:r w:rsidR="00DF6E96">
        <w:rPr>
          <w:b/>
          <w:color w:val="000000"/>
          <w:sz w:val="28"/>
          <w:szCs w:val="28"/>
        </w:rPr>
        <w:t xml:space="preserve">THẨM QUYỀN GIẢI QUYẾT </w:t>
      </w:r>
      <w:r w:rsidRPr="00DF6E96">
        <w:rPr>
          <w:b/>
          <w:color w:val="000000"/>
          <w:sz w:val="28"/>
          <w:szCs w:val="28"/>
        </w:rPr>
        <w:t xml:space="preserve">CỦA SỞ </w:t>
      </w:r>
      <w:r w:rsidR="00D25421">
        <w:rPr>
          <w:b/>
          <w:color w:val="000000"/>
          <w:sz w:val="28"/>
          <w:szCs w:val="28"/>
        </w:rPr>
        <w:t>NÔNG NGHIỆP VÀ PHÁT TRIỂN NÔNG THÔN</w:t>
      </w:r>
    </w:p>
    <w:p w14:paraId="7D3EC212" w14:textId="4E88CCCD" w:rsidR="00500B1A" w:rsidRPr="00DF6E96" w:rsidRDefault="00500B1A" w:rsidP="00D53B2F">
      <w:pPr>
        <w:widowControl w:val="0"/>
        <w:spacing w:before="60" w:line="264" w:lineRule="auto"/>
        <w:jc w:val="center"/>
        <w:rPr>
          <w:b/>
          <w:color w:val="000000"/>
          <w:sz w:val="28"/>
          <w:szCs w:val="28"/>
        </w:rPr>
      </w:pPr>
      <w:r w:rsidRPr="00DF6E96">
        <w:rPr>
          <w:b/>
          <w:color w:val="000000"/>
          <w:sz w:val="28"/>
          <w:szCs w:val="28"/>
        </w:rPr>
        <w:t>TỈNH</w:t>
      </w:r>
      <w:r w:rsidR="00DF6E96" w:rsidRPr="00DF6E96">
        <w:rPr>
          <w:b/>
          <w:color w:val="000000"/>
          <w:sz w:val="28"/>
          <w:szCs w:val="28"/>
        </w:rPr>
        <w:t xml:space="preserve"> </w:t>
      </w:r>
      <w:r w:rsidRPr="00DF6E96">
        <w:rPr>
          <w:b/>
          <w:color w:val="000000"/>
          <w:sz w:val="28"/>
          <w:szCs w:val="28"/>
        </w:rPr>
        <w:t>THỪA THIÊN HUẾ</w:t>
      </w:r>
    </w:p>
    <w:p w14:paraId="6BA81C1B" w14:textId="255E7DB3" w:rsidR="00500B1A" w:rsidRPr="00D85118" w:rsidRDefault="00500B1A" w:rsidP="00D53B2F">
      <w:pPr>
        <w:widowControl w:val="0"/>
        <w:spacing w:before="60" w:line="264" w:lineRule="auto"/>
        <w:jc w:val="center"/>
        <w:rPr>
          <w:i/>
          <w:color w:val="000000"/>
          <w:sz w:val="28"/>
          <w:szCs w:val="28"/>
        </w:rPr>
      </w:pPr>
      <w:r w:rsidRPr="00D85118">
        <w:rPr>
          <w:i/>
          <w:color w:val="000000"/>
          <w:sz w:val="28"/>
          <w:szCs w:val="28"/>
          <w:lang w:val="vi-VN"/>
        </w:rPr>
        <w:t>(</w:t>
      </w:r>
      <w:r w:rsidR="00D85118" w:rsidRPr="00D85118">
        <w:rPr>
          <w:i/>
          <w:color w:val="000000"/>
          <w:sz w:val="28"/>
          <w:szCs w:val="28"/>
        </w:rPr>
        <w:t>K</w:t>
      </w:r>
      <w:r w:rsidRPr="00D85118">
        <w:rPr>
          <w:i/>
          <w:color w:val="000000"/>
          <w:sz w:val="28"/>
          <w:szCs w:val="28"/>
          <w:lang w:val="vi-VN"/>
        </w:rPr>
        <w:t xml:space="preserve">èm theo Quyết định số </w:t>
      </w:r>
      <w:r w:rsidRPr="00D85118">
        <w:rPr>
          <w:i/>
          <w:color w:val="000000"/>
          <w:sz w:val="28"/>
          <w:szCs w:val="28"/>
        </w:rPr>
        <w:t xml:space="preserve">   </w:t>
      </w:r>
      <w:r w:rsidR="00DF6E96" w:rsidRPr="00D85118">
        <w:rPr>
          <w:i/>
          <w:color w:val="000000"/>
          <w:sz w:val="28"/>
          <w:szCs w:val="28"/>
        </w:rPr>
        <w:t xml:space="preserve"> </w:t>
      </w:r>
      <w:r w:rsidRPr="00D85118">
        <w:rPr>
          <w:i/>
          <w:color w:val="000000"/>
          <w:sz w:val="28"/>
          <w:szCs w:val="28"/>
        </w:rPr>
        <w:t xml:space="preserve">  </w:t>
      </w:r>
      <w:r w:rsidRPr="00D85118">
        <w:rPr>
          <w:i/>
          <w:color w:val="000000"/>
          <w:sz w:val="28"/>
          <w:szCs w:val="28"/>
          <w:lang w:val="vi-VN"/>
        </w:rPr>
        <w:t>/QĐ-UBND</w:t>
      </w:r>
      <w:r w:rsidRPr="00D85118">
        <w:rPr>
          <w:i/>
          <w:color w:val="000000"/>
          <w:sz w:val="28"/>
          <w:szCs w:val="28"/>
        </w:rPr>
        <w:t xml:space="preserve"> </w:t>
      </w:r>
      <w:r w:rsidRPr="00D85118">
        <w:rPr>
          <w:i/>
          <w:color w:val="000000"/>
          <w:sz w:val="28"/>
          <w:szCs w:val="28"/>
          <w:lang w:val="vi-VN"/>
        </w:rPr>
        <w:t>ngày</w:t>
      </w:r>
      <w:r w:rsidRPr="00D85118">
        <w:rPr>
          <w:i/>
          <w:color w:val="000000"/>
          <w:sz w:val="28"/>
          <w:szCs w:val="28"/>
        </w:rPr>
        <w:t xml:space="preserve"> </w:t>
      </w:r>
      <w:r w:rsidR="00DF6E96" w:rsidRPr="00D85118">
        <w:rPr>
          <w:i/>
          <w:color w:val="000000"/>
          <w:sz w:val="28"/>
          <w:szCs w:val="28"/>
        </w:rPr>
        <w:t xml:space="preserve">  </w:t>
      </w:r>
      <w:r w:rsidRPr="00D85118">
        <w:rPr>
          <w:i/>
          <w:color w:val="000000"/>
          <w:sz w:val="28"/>
          <w:szCs w:val="28"/>
        </w:rPr>
        <w:t xml:space="preserve">  </w:t>
      </w:r>
      <w:r w:rsidR="00ED0079" w:rsidRPr="00D85118">
        <w:rPr>
          <w:i/>
          <w:color w:val="000000"/>
          <w:sz w:val="28"/>
          <w:szCs w:val="28"/>
        </w:rPr>
        <w:t xml:space="preserve"> </w:t>
      </w:r>
      <w:r w:rsidR="00D85118" w:rsidRPr="00D85118">
        <w:rPr>
          <w:i/>
          <w:color w:val="000000"/>
          <w:sz w:val="28"/>
          <w:szCs w:val="28"/>
        </w:rPr>
        <w:t xml:space="preserve"> tháng </w:t>
      </w:r>
      <w:r w:rsidR="00F139DB">
        <w:rPr>
          <w:i/>
          <w:color w:val="000000"/>
          <w:sz w:val="28"/>
          <w:szCs w:val="28"/>
        </w:rPr>
        <w:t>7</w:t>
      </w:r>
      <w:r w:rsidR="00D85118" w:rsidRPr="00D85118">
        <w:rPr>
          <w:i/>
          <w:color w:val="000000"/>
          <w:sz w:val="28"/>
          <w:szCs w:val="28"/>
        </w:rPr>
        <w:t xml:space="preserve"> năm </w:t>
      </w:r>
      <w:r w:rsidR="000C649F" w:rsidRPr="00D85118">
        <w:rPr>
          <w:i/>
          <w:color w:val="000000"/>
          <w:sz w:val="28"/>
          <w:szCs w:val="28"/>
        </w:rPr>
        <w:t>2021</w:t>
      </w:r>
      <w:r w:rsidR="00DF6E96" w:rsidRPr="00D85118">
        <w:rPr>
          <w:i/>
          <w:color w:val="000000"/>
          <w:sz w:val="28"/>
          <w:szCs w:val="28"/>
        </w:rPr>
        <w:t xml:space="preserve"> </w:t>
      </w:r>
      <w:r w:rsidRPr="00D85118">
        <w:rPr>
          <w:i/>
          <w:color w:val="000000"/>
          <w:sz w:val="28"/>
          <w:szCs w:val="28"/>
          <w:lang w:val="vi-VN"/>
        </w:rPr>
        <w:t>của Chủ tịch UBND tỉnh Thừa Thiên Huế)</w:t>
      </w:r>
    </w:p>
    <w:p w14:paraId="2B4B237B" w14:textId="77777777" w:rsidR="00500B1A" w:rsidRPr="0047047B" w:rsidRDefault="006630A9" w:rsidP="00DF6E96">
      <w:pPr>
        <w:widowControl w:val="0"/>
        <w:jc w:val="center"/>
        <w:rPr>
          <w:color w:val="000000"/>
        </w:rPr>
      </w:pPr>
      <w:r>
        <w:rPr>
          <w:noProof/>
          <w:color w:val="000000"/>
        </w:rPr>
        <mc:AlternateContent>
          <mc:Choice Requires="wps">
            <w:drawing>
              <wp:anchor distT="4294967295" distB="4294967295" distL="114300" distR="114300" simplePos="0" relativeHeight="251659264" behindDoc="0" locked="0" layoutInCell="1" allowOverlap="1" wp14:anchorId="0EC84E28" wp14:editId="356B1B0A">
                <wp:simplePos x="0" y="0"/>
                <wp:positionH relativeFrom="column">
                  <wp:posOffset>2890044</wp:posOffset>
                </wp:positionH>
                <wp:positionV relativeFrom="paragraph">
                  <wp:posOffset>49530</wp:posOffset>
                </wp:positionV>
                <wp:extent cx="3321844"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8CF3F"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55pt,3.9pt" to="489.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" strokeweight=".5pt"/>
            </w:pict>
          </mc:Fallback>
        </mc:AlternateContent>
      </w:r>
    </w:p>
    <w:p w14:paraId="7C9D0045" w14:textId="77777777" w:rsidR="00500B1A" w:rsidRPr="00D53B2F" w:rsidRDefault="00500B1A" w:rsidP="00500B1A">
      <w:pPr>
        <w:widowControl w:val="0"/>
        <w:tabs>
          <w:tab w:val="left" w:pos="351"/>
        </w:tabs>
        <w:rPr>
          <w:b/>
          <w:color w:val="000000"/>
          <w:sz w:val="28"/>
          <w:szCs w:val="28"/>
        </w:rPr>
      </w:pPr>
    </w:p>
    <w:tbl>
      <w:tblPr>
        <w:tblW w:w="4881" w:type="pct"/>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48"/>
        <w:gridCol w:w="1420"/>
        <w:gridCol w:w="3953"/>
        <w:gridCol w:w="1715"/>
        <w:gridCol w:w="5847"/>
      </w:tblGrid>
      <w:tr w:rsidR="00404130" w:rsidRPr="00C44081" w14:paraId="1B8EA886" w14:textId="77777777" w:rsidTr="00404130">
        <w:trPr>
          <w:trHeight w:val="670"/>
        </w:trPr>
        <w:tc>
          <w:tcPr>
            <w:tcW w:w="308" w:type="pct"/>
            <w:shd w:val="clear" w:color="auto" w:fill="FFFFFF"/>
            <w:vAlign w:val="center"/>
          </w:tcPr>
          <w:p w14:paraId="2E20480F" w14:textId="77777777" w:rsidR="00404130" w:rsidRPr="00DF6E96" w:rsidRDefault="00404130" w:rsidP="0045784C">
            <w:pPr>
              <w:spacing w:line="288" w:lineRule="auto"/>
              <w:jc w:val="center"/>
              <w:rPr>
                <w:b/>
                <w:color w:val="000000"/>
                <w:sz w:val="28"/>
                <w:szCs w:val="28"/>
              </w:rPr>
            </w:pPr>
            <w:r w:rsidRPr="00DF6E96">
              <w:rPr>
                <w:b/>
                <w:color w:val="000000"/>
                <w:sz w:val="28"/>
                <w:szCs w:val="28"/>
              </w:rPr>
              <w:t>STT</w:t>
            </w:r>
          </w:p>
        </w:tc>
        <w:tc>
          <w:tcPr>
            <w:tcW w:w="515" w:type="pct"/>
            <w:shd w:val="clear" w:color="auto" w:fill="FFFFFF"/>
            <w:vAlign w:val="center"/>
          </w:tcPr>
          <w:p w14:paraId="27793DFE" w14:textId="77777777" w:rsidR="00404130" w:rsidRPr="00DF6E96" w:rsidRDefault="00404130" w:rsidP="0045784C">
            <w:pPr>
              <w:spacing w:line="288" w:lineRule="auto"/>
              <w:jc w:val="center"/>
              <w:rPr>
                <w:b/>
                <w:color w:val="000000"/>
                <w:sz w:val="28"/>
                <w:szCs w:val="28"/>
              </w:rPr>
            </w:pPr>
            <w:r>
              <w:rPr>
                <w:b/>
                <w:color w:val="000000"/>
                <w:sz w:val="28"/>
                <w:szCs w:val="28"/>
              </w:rPr>
              <w:t>Mã TTHC</w:t>
            </w:r>
          </w:p>
        </w:tc>
        <w:tc>
          <w:tcPr>
            <w:tcW w:w="1434" w:type="pct"/>
            <w:shd w:val="clear" w:color="auto" w:fill="FFFFFF"/>
            <w:vAlign w:val="center"/>
          </w:tcPr>
          <w:p w14:paraId="714C0B3E" w14:textId="77777777" w:rsidR="00404130" w:rsidRPr="00DF6E96" w:rsidRDefault="00404130" w:rsidP="007C7310">
            <w:pPr>
              <w:spacing w:line="288" w:lineRule="auto"/>
              <w:jc w:val="center"/>
              <w:rPr>
                <w:b/>
                <w:color w:val="000000"/>
                <w:sz w:val="28"/>
                <w:szCs w:val="28"/>
              </w:rPr>
            </w:pPr>
            <w:r w:rsidRPr="00DF6E96">
              <w:rPr>
                <w:b/>
                <w:color w:val="000000"/>
                <w:sz w:val="28"/>
                <w:szCs w:val="28"/>
              </w:rPr>
              <w:t xml:space="preserve">Tên </w:t>
            </w:r>
            <w:r>
              <w:rPr>
                <w:b/>
                <w:color w:val="000000"/>
                <w:sz w:val="28"/>
                <w:szCs w:val="28"/>
              </w:rPr>
              <w:t>TTHC</w:t>
            </w:r>
          </w:p>
        </w:tc>
        <w:tc>
          <w:tcPr>
            <w:tcW w:w="622" w:type="pct"/>
            <w:shd w:val="clear" w:color="auto" w:fill="FFFFFF"/>
            <w:vAlign w:val="center"/>
          </w:tcPr>
          <w:p w14:paraId="0D583ECA" w14:textId="77777777" w:rsidR="00404130" w:rsidRPr="00DF6E96" w:rsidRDefault="00404130" w:rsidP="0045784C">
            <w:pPr>
              <w:spacing w:line="288" w:lineRule="auto"/>
              <w:jc w:val="center"/>
              <w:rPr>
                <w:b/>
                <w:color w:val="000000"/>
                <w:sz w:val="28"/>
                <w:szCs w:val="28"/>
              </w:rPr>
            </w:pPr>
            <w:r w:rsidRPr="00DF6E96">
              <w:rPr>
                <w:b/>
                <w:color w:val="000000"/>
                <w:sz w:val="28"/>
                <w:szCs w:val="28"/>
              </w:rPr>
              <w:t>Lĩnh vực</w:t>
            </w:r>
          </w:p>
        </w:tc>
        <w:tc>
          <w:tcPr>
            <w:tcW w:w="2121" w:type="pct"/>
            <w:shd w:val="clear" w:color="auto" w:fill="FFFFFF"/>
            <w:vAlign w:val="center"/>
          </w:tcPr>
          <w:p w14:paraId="3E353DBF" w14:textId="05561D8F" w:rsidR="00404130" w:rsidRPr="00DF6E96" w:rsidRDefault="00404130" w:rsidP="0045784C">
            <w:pPr>
              <w:spacing w:line="288" w:lineRule="auto"/>
              <w:jc w:val="center"/>
              <w:rPr>
                <w:color w:val="000000"/>
                <w:sz w:val="28"/>
                <w:szCs w:val="28"/>
              </w:rPr>
            </w:pPr>
            <w:r w:rsidRPr="00DF6E96">
              <w:rPr>
                <w:b/>
                <w:color w:val="000000"/>
                <w:sz w:val="28"/>
                <w:szCs w:val="28"/>
              </w:rPr>
              <w:t>Tên VBQPPL quy định việc bãi bỏ</w:t>
            </w:r>
            <w:r w:rsidR="005555CE">
              <w:rPr>
                <w:b/>
                <w:color w:val="000000"/>
                <w:sz w:val="28"/>
                <w:szCs w:val="28"/>
              </w:rPr>
              <w:t xml:space="preserve"> TTHC</w:t>
            </w:r>
          </w:p>
        </w:tc>
      </w:tr>
      <w:tr w:rsidR="00404130" w:rsidRPr="00C44081" w14:paraId="01906F6F" w14:textId="77777777" w:rsidTr="00404130">
        <w:trPr>
          <w:trHeight w:val="1859"/>
        </w:trPr>
        <w:tc>
          <w:tcPr>
            <w:tcW w:w="308" w:type="pct"/>
            <w:shd w:val="clear" w:color="auto" w:fill="FFFFFF"/>
            <w:vAlign w:val="center"/>
          </w:tcPr>
          <w:p w14:paraId="4AE3D1E1" w14:textId="77777777" w:rsidR="00404130" w:rsidRPr="00DF6E96" w:rsidRDefault="00404130" w:rsidP="0045784C">
            <w:pPr>
              <w:widowControl w:val="0"/>
              <w:spacing w:line="288" w:lineRule="auto"/>
              <w:ind w:left="-57" w:right="-57"/>
              <w:jc w:val="center"/>
              <w:rPr>
                <w:color w:val="000000"/>
                <w:sz w:val="28"/>
                <w:szCs w:val="28"/>
              </w:rPr>
            </w:pPr>
            <w:r w:rsidRPr="00DF6E96">
              <w:rPr>
                <w:color w:val="000000"/>
                <w:sz w:val="28"/>
                <w:szCs w:val="28"/>
              </w:rPr>
              <w:t>1.</w:t>
            </w:r>
          </w:p>
        </w:tc>
        <w:tc>
          <w:tcPr>
            <w:tcW w:w="515" w:type="pct"/>
            <w:shd w:val="clear" w:color="auto" w:fill="FFFFFF"/>
            <w:vAlign w:val="center"/>
          </w:tcPr>
          <w:p w14:paraId="20F77D3B" w14:textId="750507F3" w:rsidR="00404130" w:rsidRPr="00DF6E96" w:rsidRDefault="00404130" w:rsidP="00404130">
            <w:pPr>
              <w:widowControl w:val="0"/>
              <w:spacing w:line="264" w:lineRule="auto"/>
              <w:rPr>
                <w:sz w:val="28"/>
                <w:szCs w:val="28"/>
              </w:rPr>
            </w:pPr>
            <w:r w:rsidRPr="00404130">
              <w:rPr>
                <w:b/>
                <w:bCs/>
                <w:sz w:val="28"/>
                <w:szCs w:val="28"/>
              </w:rPr>
              <w:t>1.005302</w:t>
            </w:r>
          </w:p>
        </w:tc>
        <w:tc>
          <w:tcPr>
            <w:tcW w:w="1434" w:type="pct"/>
            <w:shd w:val="clear" w:color="auto" w:fill="FFFFFF"/>
            <w:vAlign w:val="center"/>
          </w:tcPr>
          <w:p w14:paraId="518C07C4" w14:textId="7735ED60" w:rsidR="00404130" w:rsidRPr="00DF6E96" w:rsidRDefault="00404130" w:rsidP="006E1E96">
            <w:pPr>
              <w:spacing w:line="264" w:lineRule="auto"/>
              <w:jc w:val="both"/>
              <w:rPr>
                <w:bCs/>
                <w:sz w:val="28"/>
                <w:szCs w:val="28"/>
              </w:rPr>
            </w:pPr>
            <w:r w:rsidRPr="006E1E96">
              <w:rPr>
                <w:color w:val="000000" w:themeColor="text1"/>
                <w:sz w:val="28"/>
                <w:szCs w:val="28"/>
              </w:rPr>
              <w:t>Phê duyệt hồ sơ yêu cầu, hồ sơ mời quan tâm, hồ sơ mời sơ tuyển, hồ sơ mời thầu (đối với dự án Sở Nông nghiệp và PTNT làm Chủ đầu tư)</w:t>
            </w:r>
          </w:p>
        </w:tc>
        <w:tc>
          <w:tcPr>
            <w:tcW w:w="622" w:type="pct"/>
            <w:shd w:val="clear" w:color="auto" w:fill="FFFFFF"/>
            <w:vAlign w:val="center"/>
          </w:tcPr>
          <w:p w14:paraId="0412C10D" w14:textId="7BD7AA5D" w:rsidR="00404130" w:rsidRPr="00DF6E96" w:rsidRDefault="00404130" w:rsidP="001246E9">
            <w:pPr>
              <w:spacing w:line="264" w:lineRule="auto"/>
              <w:jc w:val="center"/>
              <w:rPr>
                <w:color w:val="000000" w:themeColor="text1"/>
                <w:sz w:val="28"/>
                <w:szCs w:val="28"/>
              </w:rPr>
            </w:pPr>
            <w:r>
              <w:rPr>
                <w:color w:val="000000" w:themeColor="text1"/>
                <w:sz w:val="28"/>
                <w:szCs w:val="28"/>
              </w:rPr>
              <w:t>Quản lý xây dựng công trình</w:t>
            </w:r>
          </w:p>
        </w:tc>
        <w:tc>
          <w:tcPr>
            <w:tcW w:w="2121" w:type="pct"/>
            <w:shd w:val="clear" w:color="auto" w:fill="FFFFFF"/>
            <w:vAlign w:val="center"/>
          </w:tcPr>
          <w:p w14:paraId="0806A263" w14:textId="1F15BFD4" w:rsidR="00404130" w:rsidRPr="00DF6E96" w:rsidRDefault="00404130" w:rsidP="00404130">
            <w:pPr>
              <w:spacing w:line="264" w:lineRule="auto"/>
              <w:jc w:val="both"/>
              <w:rPr>
                <w:sz w:val="28"/>
                <w:szCs w:val="28"/>
              </w:rPr>
            </w:pPr>
            <w:r>
              <w:rPr>
                <w:color w:val="000000" w:themeColor="text1"/>
                <w:sz w:val="28"/>
                <w:szCs w:val="28"/>
                <w:lang w:eastAsia="vi-VN"/>
              </w:rPr>
              <w:t>Thông tư số 19/2020/TT-BNNPTNT ngày 20/12/2020 của Bộ trưởng Bộ Nông nghiệp và Phát triển nông thôn bãi bỏ một số văn bản quy phạm pháp luật do Bộ Nông nghiệp và Phát triển nông thôn ban hành, liên tịch ban hành</w:t>
            </w:r>
          </w:p>
        </w:tc>
      </w:tr>
      <w:tr w:rsidR="00404130" w:rsidRPr="00C44081" w14:paraId="7C30D048" w14:textId="77777777" w:rsidTr="00404130">
        <w:trPr>
          <w:trHeight w:val="2710"/>
        </w:trPr>
        <w:tc>
          <w:tcPr>
            <w:tcW w:w="308" w:type="pct"/>
            <w:shd w:val="clear" w:color="auto" w:fill="FFFFFF"/>
            <w:vAlign w:val="center"/>
          </w:tcPr>
          <w:p w14:paraId="795AD2F3" w14:textId="36B28344" w:rsidR="00404130" w:rsidRPr="00DF6E96" w:rsidRDefault="00404130" w:rsidP="0045784C">
            <w:pPr>
              <w:widowControl w:val="0"/>
              <w:spacing w:line="288" w:lineRule="auto"/>
              <w:ind w:left="-57" w:right="-57"/>
              <w:jc w:val="center"/>
              <w:rPr>
                <w:color w:val="000000"/>
                <w:sz w:val="28"/>
                <w:szCs w:val="28"/>
              </w:rPr>
            </w:pPr>
            <w:r>
              <w:rPr>
                <w:color w:val="000000"/>
                <w:sz w:val="28"/>
                <w:szCs w:val="28"/>
              </w:rPr>
              <w:t>2.</w:t>
            </w:r>
          </w:p>
        </w:tc>
        <w:tc>
          <w:tcPr>
            <w:tcW w:w="515" w:type="pct"/>
            <w:shd w:val="clear" w:color="auto" w:fill="FFFFFF"/>
            <w:vAlign w:val="center"/>
          </w:tcPr>
          <w:p w14:paraId="2C5BB5C1" w14:textId="5A9BCC48" w:rsidR="00404130" w:rsidRDefault="00DD2E23" w:rsidP="00DD2E23">
            <w:pPr>
              <w:widowControl w:val="0"/>
              <w:spacing w:line="264" w:lineRule="auto"/>
              <w:rPr>
                <w:sz w:val="28"/>
                <w:szCs w:val="28"/>
              </w:rPr>
            </w:pPr>
            <w:r>
              <w:rPr>
                <w:rFonts w:ascii="Roboto" w:hAnsi="Roboto"/>
                <w:b/>
                <w:bCs/>
                <w:color w:val="333333"/>
                <w:sz w:val="21"/>
                <w:szCs w:val="21"/>
                <w:bdr w:val="none" w:sz="0" w:space="0" w:color="auto" w:frame="1"/>
                <w:shd w:val="clear" w:color="auto" w:fill="FFFFFF"/>
              </w:rPr>
              <w:br/>
            </w:r>
            <w:r w:rsidRPr="00C374CC">
              <w:rPr>
                <w:b/>
                <w:bCs/>
                <w:sz w:val="28"/>
                <w:szCs w:val="28"/>
              </w:rPr>
              <w:t>1.002330</w:t>
            </w:r>
          </w:p>
        </w:tc>
        <w:tc>
          <w:tcPr>
            <w:tcW w:w="1434" w:type="pct"/>
            <w:shd w:val="clear" w:color="auto" w:fill="FFFFFF"/>
            <w:vAlign w:val="center"/>
          </w:tcPr>
          <w:p w14:paraId="55588228" w14:textId="15FCDCAE" w:rsidR="00404130" w:rsidRPr="00DF6E96" w:rsidRDefault="00DD2E23" w:rsidP="00DD2E23">
            <w:pPr>
              <w:spacing w:line="264" w:lineRule="auto"/>
              <w:jc w:val="both"/>
              <w:rPr>
                <w:sz w:val="28"/>
                <w:szCs w:val="28"/>
              </w:rPr>
            </w:pPr>
            <w:r w:rsidRPr="00DD2E23">
              <w:rPr>
                <w:color w:val="000000" w:themeColor="text1"/>
                <w:sz w:val="28"/>
                <w:szCs w:val="28"/>
              </w:rPr>
              <w:t>Phê duyệt kết quả đánh giá hồ sơ quan tâm, hồ sơ dự sơ tuyển, hồ sơ đề xuất, hồ sơ dự thầu và kết quả lựa chọn nhà thầu (đối với dự án Sở Nông nghiệp và PTNT làm Chủ đầu tư)</w:t>
            </w:r>
          </w:p>
        </w:tc>
        <w:tc>
          <w:tcPr>
            <w:tcW w:w="622" w:type="pct"/>
            <w:shd w:val="clear" w:color="auto" w:fill="FFFFFF"/>
            <w:vAlign w:val="center"/>
          </w:tcPr>
          <w:p w14:paraId="3F861897" w14:textId="5A65EE41" w:rsidR="00404130" w:rsidRPr="00DF6E96" w:rsidRDefault="00DD2E23" w:rsidP="001246E9">
            <w:pPr>
              <w:spacing w:line="264" w:lineRule="auto"/>
              <w:jc w:val="center"/>
              <w:rPr>
                <w:color w:val="000000" w:themeColor="text1"/>
                <w:sz w:val="28"/>
                <w:szCs w:val="28"/>
              </w:rPr>
            </w:pPr>
            <w:r>
              <w:rPr>
                <w:color w:val="000000" w:themeColor="text1"/>
                <w:sz w:val="28"/>
                <w:szCs w:val="28"/>
              </w:rPr>
              <w:t>Quản lý xây dựng công trình</w:t>
            </w:r>
          </w:p>
        </w:tc>
        <w:tc>
          <w:tcPr>
            <w:tcW w:w="2121" w:type="pct"/>
            <w:shd w:val="clear" w:color="auto" w:fill="FFFFFF"/>
            <w:vAlign w:val="center"/>
          </w:tcPr>
          <w:p w14:paraId="025E7165" w14:textId="3EF195DA" w:rsidR="00404130" w:rsidRDefault="00DD2E23" w:rsidP="005555CE">
            <w:pPr>
              <w:spacing w:line="264" w:lineRule="auto"/>
              <w:jc w:val="both"/>
              <w:rPr>
                <w:color w:val="000000" w:themeColor="text1"/>
                <w:sz w:val="28"/>
                <w:szCs w:val="28"/>
                <w:lang w:eastAsia="vi-VN"/>
              </w:rPr>
            </w:pPr>
            <w:r>
              <w:rPr>
                <w:color w:val="000000" w:themeColor="text1"/>
                <w:sz w:val="28"/>
                <w:szCs w:val="28"/>
                <w:lang w:eastAsia="vi-VN"/>
              </w:rPr>
              <w:t>Thông tư số 19/2020/TT-BNNPTNT ngày 20/12/2020 của Bộ trưởng Bộ Nông nghiệp và Phát triển nông thôn bãi bỏ một số văn bản quy phạm pháp luật do Bộ Nông nghiệp và Phát triển nông thôn ban hành, liên tịch ban hành</w:t>
            </w:r>
          </w:p>
        </w:tc>
      </w:tr>
    </w:tbl>
    <w:p w14:paraId="0000BFE1" w14:textId="77777777" w:rsidR="00500B1A" w:rsidRPr="00835B84" w:rsidRDefault="00500B1A" w:rsidP="00500B1A">
      <w:pPr>
        <w:rPr>
          <w:lang w:val="vi-VN"/>
        </w:rPr>
      </w:pPr>
    </w:p>
    <w:p w14:paraId="37CDD2EF" w14:textId="77777777" w:rsidR="00500B1A" w:rsidRPr="00835B84" w:rsidRDefault="00500B1A" w:rsidP="00500B1A">
      <w:pPr>
        <w:rPr>
          <w:lang w:val="vi-VN"/>
        </w:rPr>
      </w:pPr>
    </w:p>
    <w:p w14:paraId="6E21FD81" w14:textId="77777777" w:rsidR="00500B1A" w:rsidRDefault="00500B1A" w:rsidP="00500B1A"/>
    <w:p w14:paraId="137ADFA8" w14:textId="77777777" w:rsidR="00500B1A" w:rsidRDefault="00500B1A" w:rsidP="00500B1A"/>
    <w:sectPr w:rsidR="00500B1A" w:rsidSect="00DF6E96">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B1A"/>
    <w:rsid w:val="000007C4"/>
    <w:rsid w:val="00047B10"/>
    <w:rsid w:val="000C649F"/>
    <w:rsid w:val="000F0451"/>
    <w:rsid w:val="001246E9"/>
    <w:rsid w:val="00147CE2"/>
    <w:rsid w:val="0015075C"/>
    <w:rsid w:val="001822E5"/>
    <w:rsid w:val="00207FB6"/>
    <w:rsid w:val="00212852"/>
    <w:rsid w:val="00216E58"/>
    <w:rsid w:val="0023294F"/>
    <w:rsid w:val="00297C75"/>
    <w:rsid w:val="003E28BD"/>
    <w:rsid w:val="00404130"/>
    <w:rsid w:val="0044251F"/>
    <w:rsid w:val="00455BC1"/>
    <w:rsid w:val="0045784C"/>
    <w:rsid w:val="00500B1A"/>
    <w:rsid w:val="005076FC"/>
    <w:rsid w:val="005555CE"/>
    <w:rsid w:val="00563D93"/>
    <w:rsid w:val="00645305"/>
    <w:rsid w:val="00662C47"/>
    <w:rsid w:val="006630A9"/>
    <w:rsid w:val="0069575E"/>
    <w:rsid w:val="006E1E96"/>
    <w:rsid w:val="006F4351"/>
    <w:rsid w:val="007C7310"/>
    <w:rsid w:val="00842803"/>
    <w:rsid w:val="008923B9"/>
    <w:rsid w:val="00906189"/>
    <w:rsid w:val="009C772C"/>
    <w:rsid w:val="009D342B"/>
    <w:rsid w:val="009E549F"/>
    <w:rsid w:val="00A06EED"/>
    <w:rsid w:val="00AC5A13"/>
    <w:rsid w:val="00B65B8E"/>
    <w:rsid w:val="00B832F2"/>
    <w:rsid w:val="00BA4F64"/>
    <w:rsid w:val="00BB09D4"/>
    <w:rsid w:val="00C269A3"/>
    <w:rsid w:val="00C374CC"/>
    <w:rsid w:val="00C66D69"/>
    <w:rsid w:val="00CD1C4A"/>
    <w:rsid w:val="00D25421"/>
    <w:rsid w:val="00D34EF3"/>
    <w:rsid w:val="00D5049D"/>
    <w:rsid w:val="00D53B2F"/>
    <w:rsid w:val="00D56BD4"/>
    <w:rsid w:val="00D85118"/>
    <w:rsid w:val="00DA2D07"/>
    <w:rsid w:val="00DD2E23"/>
    <w:rsid w:val="00DF6E96"/>
    <w:rsid w:val="00EC4FC1"/>
    <w:rsid w:val="00ED0079"/>
    <w:rsid w:val="00F139DB"/>
    <w:rsid w:val="00FA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60AC"/>
  <w15:docId w15:val="{262EB899-1AD6-409F-8F62-0FF3D7E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00B1A"/>
    <w:pPr>
      <w:spacing w:after="0" w:line="240" w:lineRule="auto"/>
    </w:pPr>
    <w:rPr>
      <w:rFonts w:eastAsia="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uiPriority w:val="99"/>
    <w:unhideWhenUsed/>
    <w:rsid w:val="00500B1A"/>
    <w:pPr>
      <w:spacing w:after="120"/>
    </w:pPr>
    <w:rPr>
      <w:sz w:val="28"/>
    </w:rPr>
  </w:style>
  <w:style w:type="character" w:customStyle="1" w:styleId="ThnVnbanChar">
    <w:name w:val="Thân Văn bản Char"/>
    <w:basedOn w:val="Phngmcinhcuaoanvn"/>
    <w:link w:val="ThnVnban"/>
    <w:uiPriority w:val="99"/>
    <w:rsid w:val="00500B1A"/>
    <w:rPr>
      <w:rFonts w:eastAsia="Times New Roman" w:cs="Times New Roman"/>
      <w:szCs w:val="24"/>
    </w:rPr>
  </w:style>
  <w:style w:type="paragraph" w:styleId="Bongchuthich">
    <w:name w:val="Balloon Text"/>
    <w:basedOn w:val="Binhthng"/>
    <w:link w:val="BongchuthichChar"/>
    <w:uiPriority w:val="99"/>
    <w:semiHidden/>
    <w:unhideWhenUsed/>
    <w:rsid w:val="000C649F"/>
    <w:rPr>
      <w:rFonts w:ascii="Tahoma" w:hAnsi="Tahoma" w:cs="Tahoma"/>
      <w:sz w:val="16"/>
      <w:szCs w:val="16"/>
    </w:rPr>
  </w:style>
  <w:style w:type="character" w:customStyle="1" w:styleId="BongchuthichChar">
    <w:name w:val="Bóng chú thích Char"/>
    <w:basedOn w:val="Phngmcinhcuaoanvn"/>
    <w:link w:val="Bongchuthich"/>
    <w:uiPriority w:val="99"/>
    <w:semiHidden/>
    <w:rsid w:val="000C649F"/>
    <w:rPr>
      <w:rFonts w:ascii="Tahoma" w:eastAsia="Times New Roman" w:hAnsi="Tahoma" w:cs="Tahoma"/>
      <w:sz w:val="16"/>
      <w:szCs w:val="16"/>
    </w:rPr>
  </w:style>
  <w:style w:type="character" w:styleId="Manh">
    <w:name w:val="Strong"/>
    <w:basedOn w:val="Phngmcinhcuaoanvn"/>
    <w:uiPriority w:val="22"/>
    <w:qFormat/>
    <w:rsid w:val="00404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7CD30-3210-4872-8BE5-099A96DD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A4851</cp:lastModifiedBy>
  <cp:revision>41</cp:revision>
  <cp:lastPrinted>2021-01-07T09:11:00Z</cp:lastPrinted>
  <dcterms:created xsi:type="dcterms:W3CDTF">2021-01-05T07:57:00Z</dcterms:created>
  <dcterms:modified xsi:type="dcterms:W3CDTF">2021-07-05T07:43:00Z</dcterms:modified>
</cp:coreProperties>
</file>