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3453"/>
        <w:gridCol w:w="6015"/>
      </w:tblGrid>
      <w:tr w:rsidR="00372705" w:rsidRPr="00335A47" w:rsidTr="002A5D50">
        <w:trPr>
          <w:trHeight w:val="566"/>
        </w:trPr>
        <w:tc>
          <w:tcPr>
            <w:tcW w:w="3453" w:type="dxa"/>
          </w:tcPr>
          <w:p w:rsidR="00372705" w:rsidRPr="00335A47" w:rsidRDefault="00372705" w:rsidP="00335A47">
            <w:pPr>
              <w:jc w:val="center"/>
              <w:rPr>
                <w:b/>
                <w:sz w:val="26"/>
                <w:szCs w:val="26"/>
              </w:rPr>
            </w:pPr>
            <w:bookmarkStart w:id="0" w:name="_GoBack"/>
            <w:bookmarkEnd w:id="0"/>
            <w:r w:rsidRPr="00335A47">
              <w:rPr>
                <w:b/>
                <w:sz w:val="26"/>
                <w:szCs w:val="26"/>
              </w:rPr>
              <w:t>ỦY BAN NHÂN DÂN</w:t>
            </w:r>
          </w:p>
          <w:p w:rsidR="00372705" w:rsidRPr="00335A47" w:rsidRDefault="00372705" w:rsidP="00CD7E46">
            <w:pPr>
              <w:jc w:val="center"/>
              <w:rPr>
                <w:b/>
                <w:sz w:val="26"/>
                <w:szCs w:val="26"/>
              </w:rPr>
            </w:pPr>
            <w:r w:rsidRPr="00335A47">
              <w:rPr>
                <w:b/>
                <w:sz w:val="26"/>
                <w:szCs w:val="26"/>
              </w:rPr>
              <w:t>THỊ XÃ  HƯƠNG TRÀ</w:t>
            </w:r>
          </w:p>
        </w:tc>
        <w:tc>
          <w:tcPr>
            <w:tcW w:w="6015" w:type="dxa"/>
          </w:tcPr>
          <w:p w:rsidR="00372705" w:rsidRPr="00335A47" w:rsidRDefault="00372705" w:rsidP="006B500D">
            <w:pPr>
              <w:jc w:val="center"/>
              <w:rPr>
                <w:b/>
                <w:sz w:val="26"/>
                <w:szCs w:val="26"/>
              </w:rPr>
            </w:pPr>
            <w:r w:rsidRPr="00335A47">
              <w:rPr>
                <w:b/>
                <w:sz w:val="26"/>
                <w:szCs w:val="26"/>
              </w:rPr>
              <w:t>CỘNG HÒA XÃ HỘI CHỦ NGHĨA VIỆT NAM</w:t>
            </w:r>
          </w:p>
          <w:p w:rsidR="00372705" w:rsidRPr="002A5D50" w:rsidRDefault="00372705" w:rsidP="006B500D">
            <w:pPr>
              <w:jc w:val="center"/>
              <w:rPr>
                <w:b/>
                <w:sz w:val="28"/>
                <w:szCs w:val="28"/>
              </w:rPr>
            </w:pPr>
            <w:r w:rsidRPr="002A5D50">
              <w:rPr>
                <w:b/>
                <w:sz w:val="28"/>
                <w:szCs w:val="28"/>
              </w:rPr>
              <w:t>Độc lập – Tự do – Hạnh phúc</w:t>
            </w:r>
          </w:p>
        </w:tc>
      </w:tr>
      <w:tr w:rsidR="00372705" w:rsidRPr="00335A47" w:rsidTr="00CD7E46">
        <w:trPr>
          <w:trHeight w:val="270"/>
        </w:trPr>
        <w:tc>
          <w:tcPr>
            <w:tcW w:w="3453" w:type="dxa"/>
          </w:tcPr>
          <w:p w:rsidR="00372705" w:rsidRPr="00335A47" w:rsidRDefault="002A5D50" w:rsidP="006C7768">
            <w:pPr>
              <w:spacing w:before="120"/>
              <w:jc w:val="center"/>
              <w:rPr>
                <w:sz w:val="26"/>
                <w:szCs w:val="26"/>
              </w:rPr>
            </w:pPr>
            <w:r>
              <w:rPr>
                <w:noProof/>
              </w:rPr>
              <mc:AlternateContent>
                <mc:Choice Requires="wps">
                  <w:drawing>
                    <wp:anchor distT="4294967295" distB="4294967295" distL="114300" distR="114300" simplePos="0" relativeHeight="251656704" behindDoc="0" locked="0" layoutInCell="1" allowOverlap="1" wp14:anchorId="52E41BCE" wp14:editId="140B98D6">
                      <wp:simplePos x="0" y="0"/>
                      <wp:positionH relativeFrom="column">
                        <wp:posOffset>431800</wp:posOffset>
                      </wp:positionH>
                      <wp:positionV relativeFrom="paragraph">
                        <wp:posOffset>19050</wp:posOffset>
                      </wp:positionV>
                      <wp:extent cx="1152525" cy="0"/>
                      <wp:effectExtent l="0" t="0" r="28575" b="1905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D98C" id="Line 2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5pt" to="12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"/>
                  </w:pict>
                </mc:Fallback>
              </mc:AlternateContent>
            </w:r>
            <w:r w:rsidR="00372705">
              <w:rPr>
                <w:sz w:val="26"/>
                <w:szCs w:val="26"/>
              </w:rPr>
              <w:t xml:space="preserve">Số: </w:t>
            </w:r>
            <w:r w:rsidR="006C7768">
              <w:rPr>
                <w:sz w:val="26"/>
                <w:szCs w:val="26"/>
              </w:rPr>
              <w:t>1124</w:t>
            </w:r>
            <w:r w:rsidR="00372705" w:rsidRPr="00335A47">
              <w:rPr>
                <w:sz w:val="26"/>
                <w:szCs w:val="26"/>
              </w:rPr>
              <w:t>/QĐ-UBND</w:t>
            </w:r>
          </w:p>
        </w:tc>
        <w:tc>
          <w:tcPr>
            <w:tcW w:w="6015" w:type="dxa"/>
          </w:tcPr>
          <w:p w:rsidR="00372705" w:rsidRPr="00335A47" w:rsidRDefault="002A5D50" w:rsidP="006C7768">
            <w:pPr>
              <w:spacing w:before="120"/>
              <w:jc w:val="center"/>
              <w:rPr>
                <w:i/>
                <w:sz w:val="26"/>
                <w:szCs w:val="26"/>
              </w:rPr>
            </w:pPr>
            <w:r w:rsidRPr="002A5D50">
              <w:rPr>
                <w:noProof/>
                <w:sz w:val="28"/>
                <w:szCs w:val="28"/>
              </w:rPr>
              <mc:AlternateContent>
                <mc:Choice Requires="wps">
                  <w:drawing>
                    <wp:anchor distT="4294967295" distB="4294967295" distL="114300" distR="114300" simplePos="0" relativeHeight="251657728" behindDoc="0" locked="0" layoutInCell="1" allowOverlap="1" wp14:anchorId="1BF30BE8" wp14:editId="561C85AB">
                      <wp:simplePos x="0" y="0"/>
                      <wp:positionH relativeFrom="column">
                        <wp:posOffset>851535</wp:posOffset>
                      </wp:positionH>
                      <wp:positionV relativeFrom="paragraph">
                        <wp:posOffset>16510</wp:posOffset>
                      </wp:positionV>
                      <wp:extent cx="1981200" cy="0"/>
                      <wp:effectExtent l="0" t="0" r="19050" b="1905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93904" id="Line 2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1.3pt" to="22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8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"/>
                  </w:pict>
                </mc:Fallback>
              </mc:AlternateContent>
            </w:r>
            <w:r w:rsidR="00372705" w:rsidRPr="00335A47">
              <w:rPr>
                <w:i/>
                <w:sz w:val="26"/>
                <w:szCs w:val="26"/>
              </w:rPr>
              <w:t>H</w:t>
            </w:r>
            <w:r>
              <w:rPr>
                <w:i/>
                <w:sz w:val="26"/>
                <w:szCs w:val="26"/>
              </w:rPr>
              <w:t>ương Trà,</w:t>
            </w:r>
            <w:r w:rsidR="00372705" w:rsidRPr="00335A47">
              <w:rPr>
                <w:i/>
                <w:sz w:val="26"/>
                <w:szCs w:val="26"/>
              </w:rPr>
              <w:t xml:space="preserve"> ngày</w:t>
            </w:r>
            <w:r>
              <w:rPr>
                <w:i/>
                <w:sz w:val="26"/>
                <w:szCs w:val="26"/>
              </w:rPr>
              <w:t xml:space="preserve"> </w:t>
            </w:r>
            <w:r w:rsidR="006C7768">
              <w:rPr>
                <w:i/>
                <w:sz w:val="26"/>
                <w:szCs w:val="26"/>
              </w:rPr>
              <w:t xml:space="preserve">31 </w:t>
            </w:r>
            <w:r w:rsidR="00372705">
              <w:rPr>
                <w:i/>
                <w:sz w:val="26"/>
                <w:szCs w:val="26"/>
              </w:rPr>
              <w:t>tháng</w:t>
            </w:r>
            <w:r w:rsidR="00015F12">
              <w:rPr>
                <w:i/>
                <w:sz w:val="26"/>
                <w:szCs w:val="26"/>
              </w:rPr>
              <w:t xml:space="preserve"> </w:t>
            </w:r>
            <w:r w:rsidR="006C7768">
              <w:rPr>
                <w:i/>
                <w:sz w:val="26"/>
                <w:szCs w:val="26"/>
              </w:rPr>
              <w:t xml:space="preserve">8 </w:t>
            </w:r>
            <w:r w:rsidR="00372705" w:rsidRPr="00335A47">
              <w:rPr>
                <w:i/>
                <w:sz w:val="26"/>
                <w:szCs w:val="26"/>
              </w:rPr>
              <w:t>năm 20</w:t>
            </w:r>
            <w:r w:rsidR="00BC2377">
              <w:rPr>
                <w:i/>
                <w:sz w:val="26"/>
                <w:szCs w:val="26"/>
              </w:rPr>
              <w:t>2</w:t>
            </w:r>
            <w:r w:rsidR="002132D1">
              <w:rPr>
                <w:i/>
                <w:sz w:val="26"/>
                <w:szCs w:val="26"/>
              </w:rPr>
              <w:t>3</w:t>
            </w:r>
          </w:p>
        </w:tc>
      </w:tr>
    </w:tbl>
    <w:p w:rsidR="00372705" w:rsidRPr="00904335" w:rsidRDefault="00372705" w:rsidP="00CB61B2">
      <w:pPr>
        <w:spacing w:before="120"/>
        <w:jc w:val="center"/>
        <w:rPr>
          <w:b/>
          <w:sz w:val="28"/>
          <w:szCs w:val="28"/>
        </w:rPr>
      </w:pPr>
      <w:r w:rsidRPr="00904335">
        <w:rPr>
          <w:b/>
          <w:sz w:val="28"/>
          <w:szCs w:val="28"/>
        </w:rPr>
        <w:t>QUYẾT ĐỊNH</w:t>
      </w:r>
      <w:r>
        <w:rPr>
          <w:b/>
          <w:sz w:val="28"/>
          <w:szCs w:val="28"/>
        </w:rPr>
        <w:t xml:space="preserve"> </w:t>
      </w:r>
    </w:p>
    <w:p w:rsidR="002132D1" w:rsidRPr="0006041D" w:rsidRDefault="000A15F1" w:rsidP="002A5D50">
      <w:pPr>
        <w:jc w:val="center"/>
        <w:rPr>
          <w:b/>
          <w:sz w:val="28"/>
          <w:szCs w:val="28"/>
        </w:rPr>
      </w:pPr>
      <w:r>
        <w:rPr>
          <w:b/>
          <w:bCs/>
          <w:sz w:val="28"/>
          <w:szCs w:val="28"/>
        </w:rPr>
        <w:t>Về việc p</w:t>
      </w:r>
      <w:r w:rsidR="007A048E" w:rsidRPr="00D805EE">
        <w:rPr>
          <w:b/>
          <w:bCs/>
          <w:sz w:val="28"/>
          <w:szCs w:val="28"/>
        </w:rPr>
        <w:t xml:space="preserve">hê duyệt </w:t>
      </w:r>
      <w:r w:rsidR="005E0B00">
        <w:rPr>
          <w:b/>
          <w:bCs/>
          <w:sz w:val="28"/>
          <w:szCs w:val="28"/>
        </w:rPr>
        <w:t>k</w:t>
      </w:r>
      <w:r w:rsidR="007A048E" w:rsidRPr="00D805EE">
        <w:rPr>
          <w:b/>
          <w:bCs/>
          <w:sz w:val="28"/>
          <w:szCs w:val="28"/>
        </w:rPr>
        <w:t>ế hoạch lựa chọn nhà thầu</w:t>
      </w:r>
      <w:r w:rsidR="002A5D50">
        <w:rPr>
          <w:b/>
          <w:bCs/>
          <w:sz w:val="28"/>
          <w:szCs w:val="28"/>
        </w:rPr>
        <w:t xml:space="preserve"> </w:t>
      </w:r>
      <w:r w:rsidR="00CB61B2">
        <w:rPr>
          <w:b/>
          <w:sz w:val="28"/>
          <w:szCs w:val="28"/>
        </w:rPr>
        <w:t xml:space="preserve">dự </w:t>
      </w:r>
      <w:r w:rsidR="00F3224B">
        <w:rPr>
          <w:b/>
          <w:sz w:val="28"/>
          <w:szCs w:val="28"/>
        </w:rPr>
        <w:t>toán</w:t>
      </w:r>
      <w:r w:rsidR="00CB61B2">
        <w:rPr>
          <w:b/>
          <w:sz w:val="28"/>
          <w:szCs w:val="28"/>
        </w:rPr>
        <w:t xml:space="preserve"> Mua sắm hệ thống âm thanh, màn hình led Hội trường xã Bình Thành</w:t>
      </w:r>
    </w:p>
    <w:p w:rsidR="00372705" w:rsidRDefault="00B31780" w:rsidP="00F877B3">
      <w:pPr>
        <w:spacing w:before="240" w:after="120"/>
        <w:jc w:val="center"/>
        <w:rPr>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ragraph">
                  <wp:posOffset>45085</wp:posOffset>
                </wp:positionV>
                <wp:extent cx="1501140" cy="0"/>
                <wp:effectExtent l="0" t="0" r="2286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465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55pt" to="286.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"/>
            </w:pict>
          </mc:Fallback>
        </mc:AlternateContent>
      </w:r>
      <w:r w:rsidR="00372705" w:rsidRPr="00904335">
        <w:rPr>
          <w:b/>
          <w:sz w:val="28"/>
          <w:szCs w:val="28"/>
        </w:rPr>
        <w:t>ỦY BAN NHÂN DÂN THỊ XÃ</w:t>
      </w:r>
    </w:p>
    <w:p w:rsidR="00F877B3" w:rsidRPr="00535ED9" w:rsidRDefault="00F877B3" w:rsidP="00F877B3">
      <w:pPr>
        <w:ind w:firstLine="839"/>
        <w:jc w:val="both"/>
        <w:rPr>
          <w:i/>
          <w:iCs/>
          <w:color w:val="000000"/>
          <w:sz w:val="28"/>
          <w:szCs w:val="28"/>
          <w:lang w:val="af-ZA"/>
        </w:rPr>
      </w:pPr>
      <w:r w:rsidRPr="00535ED9">
        <w:rPr>
          <w:i/>
          <w:sz w:val="28"/>
          <w:szCs w:val="28"/>
        </w:rPr>
        <w:t>Căn cứ Luật Tổ chức Chính quyền địa phương ngày 19 tháng 6 n</w:t>
      </w:r>
      <w:r w:rsidRPr="00535ED9">
        <w:rPr>
          <w:rFonts w:hint="eastAsia"/>
          <w:i/>
          <w:sz w:val="28"/>
          <w:szCs w:val="28"/>
        </w:rPr>
        <w:t>ă</w:t>
      </w:r>
      <w:r w:rsidRPr="00535ED9">
        <w:rPr>
          <w:i/>
          <w:sz w:val="28"/>
          <w:szCs w:val="28"/>
        </w:rPr>
        <w:t xml:space="preserve">m 2015; </w:t>
      </w:r>
      <w:r w:rsidRPr="00535ED9">
        <w:rPr>
          <w:i/>
          <w:iCs/>
          <w:color w:val="000000"/>
          <w:sz w:val="28"/>
          <w:szCs w:val="28"/>
          <w:lang w:val="af-ZA"/>
        </w:rPr>
        <w:t>Luật Sửa đổi, bổ sung một số điều của Luật Tổ chức Chính phủ và Luật Tổ chức chính quyền địa phương ngày 22 tháng 11 năm 2019;</w:t>
      </w:r>
      <w:r w:rsidRPr="00535ED9">
        <w:rPr>
          <w:i/>
          <w:sz w:val="28"/>
          <w:szCs w:val="28"/>
        </w:rPr>
        <w:t xml:space="preserve">    </w:t>
      </w:r>
    </w:p>
    <w:p w:rsidR="00F877B3" w:rsidRPr="00F877B3" w:rsidRDefault="00F877B3" w:rsidP="00F877B3">
      <w:pPr>
        <w:ind w:firstLine="839"/>
        <w:jc w:val="both"/>
        <w:rPr>
          <w:i/>
          <w:sz w:val="28"/>
          <w:szCs w:val="28"/>
        </w:rPr>
      </w:pPr>
      <w:r w:rsidRPr="00F877B3">
        <w:rPr>
          <w:i/>
          <w:sz w:val="28"/>
          <w:szCs w:val="28"/>
        </w:rPr>
        <w:t>Căn cứ Luật Quản lý, sử dụng tài sản công ngày 21 tháng 6 năm 2017;</w:t>
      </w:r>
      <w:r w:rsidRPr="00F877B3">
        <w:rPr>
          <w:i/>
          <w:sz w:val="28"/>
          <w:szCs w:val="28"/>
        </w:rPr>
        <w:br/>
        <w:t>Căn cứ Luật Đấu thầu số 43/2013/QH13 ngày 26 tháng 11 năm 2013;</w:t>
      </w:r>
    </w:p>
    <w:p w:rsidR="00F877B3" w:rsidRPr="00F877B3" w:rsidRDefault="00F877B3" w:rsidP="00F877B3">
      <w:pPr>
        <w:ind w:firstLine="839"/>
        <w:jc w:val="both"/>
        <w:rPr>
          <w:i/>
          <w:sz w:val="28"/>
          <w:szCs w:val="28"/>
        </w:rPr>
      </w:pPr>
      <w:r w:rsidRPr="00F877B3">
        <w:rPr>
          <w:i/>
          <w:sz w:val="28"/>
          <w:szCs w:val="28"/>
        </w:rPr>
        <w:t>Căn cứ Nghị định số 63/2014/NĐ-CP ngày 26 tháng 6 năm 2014 của Chính phủ về việc quy định chi tiết thi hành một số điều Luật Đấu thầu về lựa chọn nhà thầu;</w:t>
      </w:r>
    </w:p>
    <w:p w:rsidR="00F877B3" w:rsidRPr="00F877B3" w:rsidRDefault="00F877B3" w:rsidP="00F877B3">
      <w:pPr>
        <w:ind w:firstLine="839"/>
        <w:jc w:val="both"/>
        <w:rPr>
          <w:i/>
          <w:sz w:val="28"/>
          <w:szCs w:val="28"/>
        </w:rPr>
      </w:pPr>
      <w:r w:rsidRPr="00F877B3">
        <w:rPr>
          <w:i/>
          <w:sz w:val="28"/>
          <w:szCs w:val="28"/>
        </w:rPr>
        <w:t>Căn cứ Thông tư số 10/2015/TT-BKHĐT ngày 26 tháng 10 năm 2015 của Bộ Kế hoạch và Đầu tư về việc quy định chi tiết về kế hoạch lựa chọn nhà thầu;</w:t>
      </w:r>
    </w:p>
    <w:p w:rsidR="00F877B3" w:rsidRPr="00F877B3" w:rsidRDefault="00F877B3" w:rsidP="00F877B3">
      <w:pPr>
        <w:ind w:firstLine="839"/>
        <w:jc w:val="both"/>
        <w:rPr>
          <w:i/>
          <w:sz w:val="28"/>
          <w:szCs w:val="28"/>
        </w:rPr>
      </w:pPr>
      <w:r w:rsidRPr="00F877B3">
        <w:rPr>
          <w:i/>
          <w:sz w:val="28"/>
          <w:szCs w:val="28"/>
        </w:rPr>
        <w:t>Căn cứ Thông tư số 58/2016/TT-BTC ngày 29/3/2016 của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F877B3" w:rsidRPr="00F877B3" w:rsidRDefault="00F877B3" w:rsidP="00F877B3">
      <w:pPr>
        <w:ind w:firstLine="839"/>
        <w:jc w:val="both"/>
        <w:rPr>
          <w:i/>
          <w:sz w:val="28"/>
          <w:szCs w:val="28"/>
        </w:rPr>
      </w:pPr>
      <w:r w:rsidRPr="00F877B3">
        <w:rPr>
          <w:i/>
          <w:sz w:val="28"/>
          <w:szCs w:val="28"/>
        </w:rPr>
        <w:t xml:space="preserve">Căn cứ Thông tư số 08/2022/TT-BKHĐT ngày 31 tháng 5 </w:t>
      </w:r>
      <w:r>
        <w:rPr>
          <w:i/>
          <w:sz w:val="28"/>
          <w:szCs w:val="28"/>
        </w:rPr>
        <w:t>năm 2022</w:t>
      </w:r>
      <w:r w:rsidRPr="00F877B3">
        <w:rPr>
          <w:i/>
          <w:sz w:val="28"/>
          <w:szCs w:val="28"/>
        </w:rPr>
        <w:t xml:space="preserve"> của Bộ Kế hoạch và Đầu tư quy định chi tiết về cung cấp, đăng tải thông tin về đấu thầu và lựa chọn nhà thầu qua hệ thống mạng đấu thầu quốc gia;</w:t>
      </w:r>
    </w:p>
    <w:p w:rsidR="004847EA" w:rsidRPr="00F877B3" w:rsidRDefault="004847EA" w:rsidP="004847EA">
      <w:pPr>
        <w:ind w:firstLine="839"/>
        <w:jc w:val="both"/>
        <w:rPr>
          <w:i/>
          <w:sz w:val="28"/>
          <w:szCs w:val="28"/>
        </w:rPr>
      </w:pPr>
      <w:r w:rsidRPr="00F877B3">
        <w:rPr>
          <w:i/>
          <w:sz w:val="28"/>
          <w:szCs w:val="28"/>
        </w:rPr>
        <w:t xml:space="preserve">Căn cứ Quyết định số 42/2018/QĐ-UBND ngày 08 tháng 8 năm 2018 của Ủy ban nhân dân tỉnh về việc ban hành Quy định phân cấp quản lý tài sản công tại cơ quan, tổ chức, đơn vị thuộc phạm vi quản lý của địa phương trên địa bàn tỉnh Thừa Thiên Huế; Quyết định số 07/2022/QĐ-UBND tỉnh ngày 17 tháng 02 </w:t>
      </w:r>
      <w:r>
        <w:rPr>
          <w:i/>
          <w:sz w:val="28"/>
          <w:szCs w:val="28"/>
        </w:rPr>
        <w:t xml:space="preserve">năm </w:t>
      </w:r>
      <w:r w:rsidRPr="00F877B3">
        <w:rPr>
          <w:i/>
          <w:sz w:val="28"/>
          <w:szCs w:val="28"/>
        </w:rPr>
        <w:t>202</w:t>
      </w:r>
      <w:r>
        <w:rPr>
          <w:i/>
          <w:sz w:val="28"/>
          <w:szCs w:val="28"/>
        </w:rPr>
        <w:t>2</w:t>
      </w:r>
      <w:r w:rsidRPr="00F877B3">
        <w:rPr>
          <w:i/>
          <w:sz w:val="28"/>
          <w:szCs w:val="28"/>
        </w:rPr>
        <w:t xml:space="preserve"> về việc sửa đổi bổ sung một số điều của quy định ban hành kèm theo Quyết định số 42/2018/QĐ-UBND ngày 08 tháng 8 năm 2018 của Ủy ban nhân dân tỉnh về việc ban hành Quy định phân cấp quản lý tài sản công tại cơ quan, tổ chức, đơn vị thuộc phạm vi quản lý của địa phương trên địa bàn tỉnh Thừa Thiên Huế;</w:t>
      </w:r>
    </w:p>
    <w:p w:rsidR="004847EA" w:rsidRPr="00F877B3" w:rsidRDefault="004847EA" w:rsidP="004847EA">
      <w:pPr>
        <w:ind w:firstLine="839"/>
        <w:jc w:val="both"/>
        <w:rPr>
          <w:i/>
          <w:sz w:val="28"/>
          <w:szCs w:val="28"/>
        </w:rPr>
      </w:pPr>
      <w:r w:rsidRPr="00F877B3">
        <w:rPr>
          <w:i/>
          <w:sz w:val="28"/>
          <w:szCs w:val="28"/>
        </w:rPr>
        <w:t xml:space="preserve">Căn cứ Quyết định số 07/2019/QĐ-UBND ngày 19 tháng 01 năm 2019 của Ủy ban nhân dân tỉnh Thừa Thiên Huế về việc lựa chọn nhà thầu để mua sắm tài sản công nhằm duy trì hoạt động thường xuyên của cơ quan, tổ chức, đơn vị thuộc phạm vi quản lý của tỉnh Thừa Thiên Huế; Quyết định số 61/2020/QĐ-UBND ngày 28 tháng 11 </w:t>
      </w:r>
      <w:r>
        <w:rPr>
          <w:i/>
          <w:sz w:val="28"/>
          <w:szCs w:val="28"/>
        </w:rPr>
        <w:t>năm 2020</w:t>
      </w:r>
      <w:r w:rsidRPr="00F877B3">
        <w:rPr>
          <w:i/>
          <w:sz w:val="28"/>
          <w:szCs w:val="28"/>
        </w:rPr>
        <w:t xml:space="preserve"> về việc sửa đổi, bổ sung Quyết định số 07/2019/QĐ-UBND ngày 19 tháng 01 năm 2019 của Ủy ban nhân dân tỉnh Thừa Thiên Huế về việc lựa chọn nhà thầu để mua sắm tài sản công nhằm </w:t>
      </w:r>
      <w:r w:rsidRPr="00F877B3">
        <w:rPr>
          <w:i/>
          <w:sz w:val="28"/>
          <w:szCs w:val="28"/>
        </w:rPr>
        <w:lastRenderedPageBreak/>
        <w:t>duy trì hoạt động thường xuyên của cơ quan, tổ chức, đơn vị thuộc phạm vi quản lý của tỉnh Thừa Thiên Huế;</w:t>
      </w:r>
    </w:p>
    <w:p w:rsidR="00F877B3" w:rsidRPr="00F877B3" w:rsidRDefault="00F877B3" w:rsidP="00F877B3">
      <w:pPr>
        <w:ind w:firstLine="839"/>
        <w:jc w:val="both"/>
        <w:rPr>
          <w:i/>
          <w:sz w:val="28"/>
          <w:szCs w:val="28"/>
        </w:rPr>
      </w:pPr>
      <w:r w:rsidRPr="00F877B3">
        <w:rPr>
          <w:i/>
          <w:sz w:val="28"/>
          <w:szCs w:val="28"/>
        </w:rPr>
        <w:t>Căn cứ Quyết định số 393/TB-UBND ngày 24 tháng 4 năm 2023 của UBND thị xã Hương Trà về việc phân bổ kinh phí mua sắm hệ thống âm thanh, màn hình led cho hội trường các phường, xã;</w:t>
      </w:r>
    </w:p>
    <w:p w:rsidR="00F877B3" w:rsidRPr="00F877B3" w:rsidRDefault="00F877B3" w:rsidP="00F877B3">
      <w:pPr>
        <w:ind w:firstLine="839"/>
        <w:jc w:val="both"/>
        <w:rPr>
          <w:i/>
          <w:sz w:val="28"/>
          <w:szCs w:val="28"/>
        </w:rPr>
      </w:pPr>
      <w:r w:rsidRPr="00F877B3">
        <w:rPr>
          <w:i/>
          <w:sz w:val="28"/>
          <w:szCs w:val="28"/>
        </w:rPr>
        <w:t>Căn cứ Chứng thư số: 0725.1/CT/TVĐN ngày 25/7/2023 của Công ty cổ phần định giá và tư vấn đầu tư Đà Nẵng về việc thẩm định giá thiết bị Hệ thống âm thanh, màn hình led cho hội trường xã Bình Thành;</w:t>
      </w:r>
    </w:p>
    <w:p w:rsidR="002132D1" w:rsidRPr="00A54BF1" w:rsidRDefault="002132D1" w:rsidP="00F877B3">
      <w:pPr>
        <w:ind w:firstLine="720"/>
        <w:jc w:val="both"/>
        <w:rPr>
          <w:i/>
          <w:sz w:val="28"/>
          <w:szCs w:val="28"/>
        </w:rPr>
      </w:pPr>
      <w:r w:rsidRPr="00535CE2">
        <w:rPr>
          <w:i/>
          <w:sz w:val="28"/>
          <w:szCs w:val="28"/>
        </w:rPr>
        <w:t>Theo đề nghị của phòng Tài chính – Kế hoạch thị xã tại Tờ trình số</w:t>
      </w:r>
      <w:r w:rsidR="00FF375E" w:rsidRPr="00535CE2">
        <w:rPr>
          <w:i/>
          <w:sz w:val="28"/>
          <w:szCs w:val="28"/>
        </w:rPr>
        <w:t xml:space="preserve"> </w:t>
      </w:r>
      <w:r w:rsidR="00535CE2" w:rsidRPr="00535CE2">
        <w:rPr>
          <w:i/>
          <w:sz w:val="28"/>
          <w:szCs w:val="28"/>
        </w:rPr>
        <w:t>397</w:t>
      </w:r>
      <w:r w:rsidRPr="00535CE2">
        <w:rPr>
          <w:i/>
          <w:sz w:val="28"/>
          <w:szCs w:val="28"/>
        </w:rPr>
        <w:t>/TTr-TCKH ngày</w:t>
      </w:r>
      <w:r w:rsidR="00FF375E" w:rsidRPr="00535CE2">
        <w:rPr>
          <w:i/>
          <w:sz w:val="28"/>
          <w:szCs w:val="28"/>
        </w:rPr>
        <w:t xml:space="preserve"> </w:t>
      </w:r>
      <w:r w:rsidR="00535CE2" w:rsidRPr="00535CE2">
        <w:rPr>
          <w:i/>
          <w:sz w:val="28"/>
          <w:szCs w:val="28"/>
        </w:rPr>
        <w:t>30</w:t>
      </w:r>
      <w:r w:rsidR="00FF375E" w:rsidRPr="00535CE2">
        <w:rPr>
          <w:i/>
          <w:sz w:val="28"/>
          <w:szCs w:val="28"/>
        </w:rPr>
        <w:t xml:space="preserve"> </w:t>
      </w:r>
      <w:r w:rsidRPr="00535CE2">
        <w:rPr>
          <w:i/>
          <w:sz w:val="28"/>
          <w:szCs w:val="28"/>
        </w:rPr>
        <w:t>tháng</w:t>
      </w:r>
      <w:r w:rsidR="00FF375E" w:rsidRPr="00535CE2">
        <w:rPr>
          <w:i/>
          <w:sz w:val="28"/>
          <w:szCs w:val="28"/>
        </w:rPr>
        <w:t xml:space="preserve"> </w:t>
      </w:r>
      <w:r w:rsidR="00535CE2" w:rsidRPr="00535CE2">
        <w:rPr>
          <w:i/>
          <w:sz w:val="28"/>
          <w:szCs w:val="28"/>
        </w:rPr>
        <w:t>8</w:t>
      </w:r>
      <w:r w:rsidR="00FF375E" w:rsidRPr="00535CE2">
        <w:rPr>
          <w:i/>
          <w:sz w:val="28"/>
          <w:szCs w:val="28"/>
        </w:rPr>
        <w:t xml:space="preserve"> </w:t>
      </w:r>
      <w:r w:rsidRPr="00535CE2">
        <w:rPr>
          <w:i/>
          <w:sz w:val="28"/>
          <w:szCs w:val="28"/>
        </w:rPr>
        <w:t>năm 202</w:t>
      </w:r>
      <w:r w:rsidR="00431BFD" w:rsidRPr="00535CE2">
        <w:rPr>
          <w:i/>
          <w:sz w:val="28"/>
          <w:szCs w:val="28"/>
        </w:rPr>
        <w:t>3</w:t>
      </w:r>
      <w:r w:rsidRPr="00535CE2">
        <w:rPr>
          <w:i/>
          <w:sz w:val="28"/>
          <w:szCs w:val="28"/>
        </w:rPr>
        <w:t>.</w:t>
      </w:r>
    </w:p>
    <w:p w:rsidR="00372705" w:rsidRPr="00904335" w:rsidRDefault="00372705" w:rsidP="00F877B3">
      <w:pPr>
        <w:jc w:val="center"/>
        <w:rPr>
          <w:b/>
          <w:sz w:val="28"/>
          <w:szCs w:val="28"/>
        </w:rPr>
      </w:pPr>
      <w:r w:rsidRPr="00904335">
        <w:rPr>
          <w:b/>
          <w:sz w:val="28"/>
          <w:szCs w:val="28"/>
        </w:rPr>
        <w:t>QUYẾT ĐỊNH:</w:t>
      </w:r>
    </w:p>
    <w:p w:rsidR="00372705" w:rsidRPr="009B029B" w:rsidRDefault="00372705" w:rsidP="00F877B3">
      <w:pPr>
        <w:pStyle w:val="Heading2"/>
        <w:ind w:firstLine="720"/>
        <w:jc w:val="both"/>
        <w:rPr>
          <w:b w:val="0"/>
          <w:bCs w:val="0"/>
          <w:sz w:val="28"/>
          <w:szCs w:val="28"/>
          <w:lang w:val="vi-VN"/>
        </w:rPr>
      </w:pPr>
      <w:r w:rsidRPr="009B029B">
        <w:rPr>
          <w:sz w:val="28"/>
          <w:szCs w:val="28"/>
          <w:lang w:val="fr-FR"/>
        </w:rPr>
        <w:t>Điều 1</w:t>
      </w:r>
      <w:r w:rsidRPr="009B029B">
        <w:rPr>
          <w:b w:val="0"/>
          <w:sz w:val="28"/>
          <w:szCs w:val="28"/>
          <w:lang w:val="fr-FR"/>
        </w:rPr>
        <w:t>. Phê duyệt kế hoạch lựa ch</w:t>
      </w:r>
      <w:r w:rsidR="00946449" w:rsidRPr="009B029B">
        <w:rPr>
          <w:b w:val="0"/>
          <w:sz w:val="28"/>
          <w:szCs w:val="28"/>
          <w:lang w:val="fr-FR"/>
        </w:rPr>
        <w:t>ọ</w:t>
      </w:r>
      <w:r w:rsidRPr="009B029B">
        <w:rPr>
          <w:b w:val="0"/>
          <w:sz w:val="28"/>
          <w:szCs w:val="28"/>
          <w:lang w:val="fr-FR"/>
        </w:rPr>
        <w:t xml:space="preserve">n nhà thầu </w:t>
      </w:r>
      <w:r w:rsidR="0006041D">
        <w:rPr>
          <w:b w:val="0"/>
          <w:sz w:val="28"/>
          <w:szCs w:val="28"/>
          <w:lang w:val="fr-FR"/>
        </w:rPr>
        <w:t>d</w:t>
      </w:r>
      <w:r w:rsidR="009B029B" w:rsidRPr="009B029B">
        <w:rPr>
          <w:b w:val="0"/>
          <w:sz w:val="28"/>
          <w:szCs w:val="28"/>
          <w:lang w:val="fr-FR"/>
        </w:rPr>
        <w:t xml:space="preserve">ự </w:t>
      </w:r>
      <w:r w:rsidR="00903792">
        <w:rPr>
          <w:b w:val="0"/>
          <w:sz w:val="28"/>
          <w:szCs w:val="28"/>
          <w:lang w:val="fr-FR"/>
        </w:rPr>
        <w:t>toán</w:t>
      </w:r>
      <w:r w:rsidRPr="009B029B">
        <w:rPr>
          <w:b w:val="0"/>
          <w:sz w:val="28"/>
          <w:szCs w:val="28"/>
          <w:lang w:val="fr-FR"/>
        </w:rPr>
        <w:t xml:space="preserve"> </w:t>
      </w:r>
      <w:r w:rsidR="000C17C9">
        <w:rPr>
          <w:b w:val="0"/>
          <w:sz w:val="28"/>
          <w:szCs w:val="28"/>
        </w:rPr>
        <w:t>Mua sắm hệ thống âm thanh, màn hình led Hội trường xã Bình Thành</w:t>
      </w:r>
      <w:r w:rsidR="00112408" w:rsidRPr="009B029B">
        <w:rPr>
          <w:b w:val="0"/>
          <w:sz w:val="28"/>
          <w:szCs w:val="28"/>
          <w:lang w:val="fr-FR"/>
        </w:rPr>
        <w:t xml:space="preserve"> </w:t>
      </w:r>
      <w:r w:rsidRPr="009B029B">
        <w:rPr>
          <w:b w:val="0"/>
          <w:sz w:val="28"/>
          <w:szCs w:val="28"/>
          <w:lang w:val="fr-FR"/>
        </w:rPr>
        <w:t>với các nội dung như sau:</w:t>
      </w:r>
    </w:p>
    <w:p w:rsidR="00030D6B" w:rsidRPr="00D1263B" w:rsidRDefault="00030D6B" w:rsidP="00F877B3">
      <w:pPr>
        <w:pStyle w:val="Heading2"/>
        <w:ind w:firstLine="720"/>
        <w:jc w:val="both"/>
        <w:rPr>
          <w:b w:val="0"/>
          <w:bCs w:val="0"/>
          <w:sz w:val="28"/>
          <w:szCs w:val="28"/>
          <w:lang w:val="fr-FR"/>
        </w:rPr>
      </w:pPr>
      <w:r w:rsidRPr="00AD2176">
        <w:rPr>
          <w:b w:val="0"/>
          <w:sz w:val="28"/>
          <w:szCs w:val="28"/>
          <w:lang w:eastAsia="vi-VN"/>
        </w:rPr>
        <w:t xml:space="preserve">1. </w:t>
      </w:r>
      <w:r w:rsidR="00E63C7D" w:rsidRPr="00AD2176">
        <w:rPr>
          <w:b w:val="0"/>
          <w:sz w:val="28"/>
          <w:szCs w:val="28"/>
          <w:lang w:eastAsia="vi-VN"/>
        </w:rPr>
        <w:t xml:space="preserve">Tên </w:t>
      </w:r>
      <w:r w:rsidR="00700094" w:rsidRPr="00AD2176">
        <w:rPr>
          <w:b w:val="0"/>
          <w:sz w:val="28"/>
          <w:szCs w:val="28"/>
          <w:lang w:eastAsia="vi-VN"/>
        </w:rPr>
        <w:t>gói thầu</w:t>
      </w:r>
      <w:r w:rsidRPr="00AD2176">
        <w:rPr>
          <w:b w:val="0"/>
          <w:sz w:val="28"/>
          <w:szCs w:val="28"/>
          <w:lang w:eastAsia="vi-VN"/>
        </w:rPr>
        <w:t xml:space="preserve">: </w:t>
      </w:r>
      <w:r w:rsidR="000C17C9">
        <w:rPr>
          <w:b w:val="0"/>
          <w:sz w:val="28"/>
          <w:szCs w:val="28"/>
        </w:rPr>
        <w:t>Mua sắm hệ thống âm thanh, màn hình led Hội trường xã Bình Thành</w:t>
      </w:r>
      <w:r w:rsidR="00AD2176" w:rsidRPr="00D1263B">
        <w:rPr>
          <w:b w:val="0"/>
          <w:sz w:val="28"/>
          <w:szCs w:val="28"/>
          <w:lang w:val="fr-FR"/>
        </w:rPr>
        <w:t>.</w:t>
      </w:r>
    </w:p>
    <w:p w:rsidR="0006041D" w:rsidRPr="00F146AF" w:rsidRDefault="00030D6B" w:rsidP="00F877B3">
      <w:pPr>
        <w:tabs>
          <w:tab w:val="right" w:pos="7371"/>
        </w:tabs>
        <w:ind w:firstLine="720"/>
        <w:jc w:val="both"/>
        <w:rPr>
          <w:b/>
          <w:sz w:val="28"/>
          <w:szCs w:val="28"/>
          <w:lang w:val="fr-FR"/>
        </w:rPr>
      </w:pPr>
      <w:r w:rsidRPr="001E542B">
        <w:rPr>
          <w:sz w:val="28"/>
          <w:szCs w:val="28"/>
          <w:lang w:eastAsia="vi-VN"/>
        </w:rPr>
        <w:t>2</w:t>
      </w:r>
      <w:r w:rsidR="00700094">
        <w:rPr>
          <w:sz w:val="28"/>
          <w:szCs w:val="28"/>
          <w:lang w:eastAsia="vi-VN"/>
        </w:rPr>
        <w:t>.</w:t>
      </w:r>
      <w:r w:rsidRPr="001E542B">
        <w:rPr>
          <w:sz w:val="28"/>
          <w:szCs w:val="28"/>
          <w:lang w:eastAsia="vi-VN"/>
        </w:rPr>
        <w:t xml:space="preserve"> </w:t>
      </w:r>
      <w:r w:rsidRPr="001E542B">
        <w:rPr>
          <w:sz w:val="28"/>
          <w:szCs w:val="28"/>
          <w:lang w:val="vi-VN" w:eastAsia="vi-VN"/>
        </w:rPr>
        <w:t xml:space="preserve">Tổng </w:t>
      </w:r>
      <w:r w:rsidR="0006041D">
        <w:rPr>
          <w:sz w:val="28"/>
          <w:szCs w:val="28"/>
          <w:lang w:eastAsia="vi-VN"/>
        </w:rPr>
        <w:t>Dự toán</w:t>
      </w:r>
      <w:r w:rsidR="00A15359">
        <w:rPr>
          <w:sz w:val="28"/>
          <w:szCs w:val="28"/>
          <w:lang w:eastAsia="vi-VN"/>
        </w:rPr>
        <w:t xml:space="preserve">: </w:t>
      </w:r>
      <w:r w:rsidR="000C17C9">
        <w:rPr>
          <w:b/>
          <w:bCs/>
          <w:color w:val="000000"/>
          <w:sz w:val="28"/>
          <w:szCs w:val="28"/>
        </w:rPr>
        <w:t>457.951</w:t>
      </w:r>
      <w:r w:rsidR="0006041D" w:rsidRPr="0006041D">
        <w:rPr>
          <w:b/>
          <w:bCs/>
          <w:color w:val="000000"/>
          <w:sz w:val="28"/>
          <w:szCs w:val="28"/>
        </w:rPr>
        <w:t>.000</w:t>
      </w:r>
      <w:r w:rsidR="0006041D" w:rsidRPr="00BC0DF5">
        <w:rPr>
          <w:sz w:val="28"/>
          <w:szCs w:val="28"/>
          <w:lang w:val="fr-FR"/>
        </w:rPr>
        <w:t xml:space="preserve"> đồng.</w:t>
      </w:r>
    </w:p>
    <w:p w:rsidR="00030D6B" w:rsidRPr="000A15F1" w:rsidRDefault="00700094" w:rsidP="00F877B3">
      <w:pPr>
        <w:ind w:firstLine="720"/>
        <w:jc w:val="both"/>
        <w:rPr>
          <w:sz w:val="28"/>
          <w:szCs w:val="28"/>
        </w:rPr>
      </w:pPr>
      <w:r>
        <w:rPr>
          <w:sz w:val="28"/>
          <w:szCs w:val="28"/>
          <w:lang w:eastAsia="vi-VN"/>
        </w:rPr>
        <w:t xml:space="preserve">3. </w:t>
      </w:r>
      <w:r w:rsidR="00030D6B" w:rsidRPr="001E542B">
        <w:rPr>
          <w:sz w:val="28"/>
          <w:szCs w:val="28"/>
          <w:lang w:val="vi-VN" w:eastAsia="vi-VN"/>
        </w:rPr>
        <w:t>Nguồn vốn</w:t>
      </w:r>
      <w:r w:rsidR="00030D6B" w:rsidRPr="001E542B">
        <w:rPr>
          <w:sz w:val="28"/>
          <w:szCs w:val="28"/>
          <w:lang w:eastAsia="vi-VN"/>
        </w:rPr>
        <w:t xml:space="preserve">: </w:t>
      </w:r>
      <w:r w:rsidR="00B807D4">
        <w:rPr>
          <w:color w:val="000000"/>
          <w:sz w:val="28"/>
          <w:szCs w:val="28"/>
          <w:lang w:val="fr-FR"/>
        </w:rPr>
        <w:t>Nguồn bổ</w:t>
      </w:r>
      <w:r w:rsidR="0072570C">
        <w:rPr>
          <w:color w:val="000000"/>
          <w:sz w:val="28"/>
          <w:szCs w:val="28"/>
          <w:lang w:val="fr-FR"/>
        </w:rPr>
        <w:t xml:space="preserve"> sung có mục tiêu tỉnh </w:t>
      </w:r>
      <w:r w:rsidR="000C17C9">
        <w:rPr>
          <w:color w:val="000000"/>
          <w:sz w:val="28"/>
          <w:szCs w:val="28"/>
          <w:lang w:val="fr-FR"/>
        </w:rPr>
        <w:t>450 triệu đồng, phần còn lại ngân sách xã Bình Thành</w:t>
      </w:r>
      <w:r w:rsidR="000A15F1">
        <w:rPr>
          <w:color w:val="000000"/>
          <w:sz w:val="28"/>
          <w:szCs w:val="28"/>
          <w:lang w:val="fr-FR"/>
        </w:rPr>
        <w:t>.</w:t>
      </w:r>
    </w:p>
    <w:p w:rsidR="00030D6B" w:rsidRPr="00AD2176" w:rsidRDefault="00030D6B" w:rsidP="00F877B3">
      <w:pPr>
        <w:ind w:firstLine="720"/>
        <w:jc w:val="both"/>
        <w:rPr>
          <w:sz w:val="28"/>
          <w:szCs w:val="28"/>
        </w:rPr>
      </w:pPr>
      <w:r w:rsidRPr="001E542B">
        <w:rPr>
          <w:sz w:val="28"/>
          <w:szCs w:val="28"/>
          <w:lang w:eastAsia="vi-VN"/>
        </w:rPr>
        <w:t>4</w:t>
      </w:r>
      <w:r w:rsidR="00700094">
        <w:rPr>
          <w:sz w:val="28"/>
          <w:szCs w:val="28"/>
          <w:lang w:eastAsia="vi-VN"/>
        </w:rPr>
        <w:t>.</w:t>
      </w:r>
      <w:r w:rsidRPr="001E542B">
        <w:rPr>
          <w:sz w:val="28"/>
          <w:szCs w:val="28"/>
          <w:lang w:eastAsia="vi-VN"/>
        </w:rPr>
        <w:t xml:space="preserve"> </w:t>
      </w:r>
      <w:r w:rsidRPr="001E542B">
        <w:rPr>
          <w:sz w:val="28"/>
          <w:szCs w:val="28"/>
          <w:lang w:val="vi-VN" w:eastAsia="vi-VN"/>
        </w:rPr>
        <w:t>Tên chủ đầu tư</w:t>
      </w:r>
      <w:r w:rsidRPr="001E542B">
        <w:rPr>
          <w:sz w:val="28"/>
          <w:szCs w:val="28"/>
          <w:lang w:eastAsia="vi-VN"/>
        </w:rPr>
        <w:t xml:space="preserve">: </w:t>
      </w:r>
      <w:r w:rsidR="000C17C9">
        <w:rPr>
          <w:sz w:val="28"/>
          <w:szCs w:val="28"/>
          <w:lang w:val="fr-FR"/>
        </w:rPr>
        <w:t>UBND xã Bình Thành</w:t>
      </w:r>
      <w:r w:rsidR="00410CB8">
        <w:rPr>
          <w:sz w:val="28"/>
          <w:szCs w:val="28"/>
          <w:lang w:val="fr-FR"/>
        </w:rPr>
        <w:t>.</w:t>
      </w:r>
    </w:p>
    <w:p w:rsidR="00030D6B" w:rsidRPr="001E542B" w:rsidRDefault="00030D6B" w:rsidP="00F877B3">
      <w:pPr>
        <w:ind w:firstLine="720"/>
        <w:jc w:val="both"/>
        <w:rPr>
          <w:sz w:val="28"/>
          <w:szCs w:val="28"/>
        </w:rPr>
      </w:pPr>
      <w:r w:rsidRPr="001E542B">
        <w:rPr>
          <w:sz w:val="28"/>
          <w:szCs w:val="28"/>
          <w:lang w:eastAsia="vi-VN"/>
        </w:rPr>
        <w:t>5</w:t>
      </w:r>
      <w:r w:rsidR="00700094">
        <w:rPr>
          <w:sz w:val="28"/>
          <w:szCs w:val="28"/>
          <w:lang w:eastAsia="vi-VN"/>
        </w:rPr>
        <w:t>.</w:t>
      </w:r>
      <w:r w:rsidRPr="001E542B">
        <w:rPr>
          <w:sz w:val="28"/>
          <w:szCs w:val="28"/>
          <w:lang w:eastAsia="vi-VN"/>
        </w:rPr>
        <w:t xml:space="preserve"> </w:t>
      </w:r>
      <w:r w:rsidRPr="001E542B">
        <w:rPr>
          <w:sz w:val="28"/>
          <w:szCs w:val="28"/>
          <w:lang w:val="vi-VN" w:eastAsia="vi-VN"/>
        </w:rPr>
        <w:t>Thời gian thực hiện:</w:t>
      </w:r>
      <w:r w:rsidR="00B226E6">
        <w:rPr>
          <w:sz w:val="28"/>
          <w:szCs w:val="28"/>
          <w:lang w:eastAsia="vi-VN"/>
        </w:rPr>
        <w:t xml:space="preserve"> N</w:t>
      </w:r>
      <w:r w:rsidRPr="001E542B">
        <w:rPr>
          <w:color w:val="000000"/>
          <w:sz w:val="28"/>
          <w:szCs w:val="28"/>
          <w:lang w:val="vi-VN"/>
        </w:rPr>
        <w:t>ăm 20</w:t>
      </w:r>
      <w:r w:rsidR="00AD2176">
        <w:rPr>
          <w:color w:val="000000"/>
          <w:sz w:val="28"/>
          <w:szCs w:val="28"/>
        </w:rPr>
        <w:t>23</w:t>
      </w:r>
      <w:r w:rsidRPr="001E542B">
        <w:rPr>
          <w:color w:val="000000"/>
          <w:sz w:val="28"/>
          <w:szCs w:val="28"/>
        </w:rPr>
        <w:t>.</w:t>
      </w:r>
    </w:p>
    <w:p w:rsidR="006461C5" w:rsidRDefault="00700094" w:rsidP="00F877B3">
      <w:pPr>
        <w:ind w:firstLine="720"/>
        <w:jc w:val="both"/>
        <w:rPr>
          <w:sz w:val="28"/>
          <w:szCs w:val="28"/>
          <w:lang w:val="fr-FR"/>
        </w:rPr>
      </w:pPr>
      <w:r>
        <w:rPr>
          <w:bCs/>
          <w:sz w:val="28"/>
          <w:szCs w:val="28"/>
        </w:rPr>
        <w:t>6</w:t>
      </w:r>
      <w:r w:rsidR="005E0B00" w:rsidRPr="00445659">
        <w:rPr>
          <w:bCs/>
          <w:sz w:val="28"/>
          <w:szCs w:val="28"/>
        </w:rPr>
        <w:t xml:space="preserve">. </w:t>
      </w:r>
      <w:r w:rsidR="00030D6B" w:rsidRPr="00445659">
        <w:rPr>
          <w:bCs/>
          <w:sz w:val="28"/>
          <w:szCs w:val="28"/>
        </w:rPr>
        <w:t>K</w:t>
      </w:r>
      <w:r w:rsidR="005E0B00" w:rsidRPr="00445659">
        <w:rPr>
          <w:bCs/>
          <w:sz w:val="28"/>
          <w:szCs w:val="28"/>
        </w:rPr>
        <w:t>ế hoạch lựa chọn nhà thầu</w:t>
      </w:r>
      <w:r w:rsidR="00030D6B" w:rsidRPr="00445659">
        <w:rPr>
          <w:bCs/>
          <w:sz w:val="28"/>
          <w:szCs w:val="28"/>
        </w:rPr>
        <w:t>:</w:t>
      </w:r>
      <w:r w:rsidR="00D277BC">
        <w:rPr>
          <w:bCs/>
          <w:sz w:val="28"/>
          <w:szCs w:val="28"/>
        </w:rPr>
        <w:t xml:space="preserve"> </w:t>
      </w:r>
      <w:r w:rsidR="00D277BC" w:rsidRPr="00D277BC">
        <w:rPr>
          <w:sz w:val="28"/>
          <w:szCs w:val="28"/>
          <w:lang w:val="fr-FR"/>
        </w:rPr>
        <w:t>Giá gói thầu, nguồn vốn, hình thức lựa chọn nhà thầu, phương thức lựa chọn nhà thầu, thời gian bắt đầu tổ chức lựa chọn nhà thầu, loại hợp đồn</w:t>
      </w:r>
      <w:r w:rsidR="006461C5">
        <w:rPr>
          <w:sz w:val="28"/>
          <w:szCs w:val="28"/>
          <w:lang w:val="fr-FR"/>
        </w:rPr>
        <w:t>g, thời gian thực hiện hợp đồng.</w:t>
      </w:r>
    </w:p>
    <w:p w:rsidR="00D277BC" w:rsidRPr="006461C5" w:rsidRDefault="006461C5" w:rsidP="00F877B3">
      <w:pPr>
        <w:jc w:val="center"/>
        <w:rPr>
          <w:i/>
          <w:sz w:val="28"/>
          <w:szCs w:val="28"/>
          <w:lang w:val="fr-FR"/>
        </w:rPr>
      </w:pPr>
      <w:r w:rsidRPr="006461C5">
        <w:rPr>
          <w:i/>
          <w:sz w:val="28"/>
          <w:szCs w:val="28"/>
          <w:lang w:val="fr-FR"/>
        </w:rPr>
        <w:t>(</w:t>
      </w:r>
      <w:r w:rsidR="00D277BC" w:rsidRPr="006461C5">
        <w:rPr>
          <w:i/>
          <w:sz w:val="28"/>
          <w:szCs w:val="28"/>
          <w:lang w:val="fr-FR"/>
        </w:rPr>
        <w:t>Có biểu chi tiết kèm theo</w:t>
      </w:r>
      <w:r w:rsidRPr="006461C5">
        <w:rPr>
          <w:i/>
          <w:sz w:val="28"/>
          <w:szCs w:val="28"/>
          <w:lang w:val="fr-FR"/>
        </w:rPr>
        <w:t>)</w:t>
      </w:r>
    </w:p>
    <w:p w:rsidR="000C17C9" w:rsidRPr="000C17C9" w:rsidRDefault="00372705" w:rsidP="00F877B3">
      <w:pPr>
        <w:ind w:firstLine="720"/>
        <w:jc w:val="both"/>
        <w:rPr>
          <w:sz w:val="28"/>
          <w:szCs w:val="28"/>
          <w:lang w:val="nl-NL"/>
        </w:rPr>
      </w:pPr>
      <w:r w:rsidRPr="000C17C9">
        <w:rPr>
          <w:b/>
          <w:color w:val="000000"/>
          <w:sz w:val="28"/>
          <w:szCs w:val="28"/>
          <w:lang w:val="fr-FR"/>
        </w:rPr>
        <w:t>Điều 2</w:t>
      </w:r>
      <w:r w:rsidRPr="000C17C9">
        <w:rPr>
          <w:color w:val="000000"/>
          <w:sz w:val="28"/>
          <w:szCs w:val="28"/>
          <w:lang w:val="fr-FR"/>
        </w:rPr>
        <w:t xml:space="preserve">. </w:t>
      </w:r>
      <w:r w:rsidR="000C17C9" w:rsidRPr="000C17C9">
        <w:rPr>
          <w:bCs/>
          <w:sz w:val="28"/>
          <w:szCs w:val="28"/>
          <w:lang w:val="nl-NL"/>
        </w:rPr>
        <w:t>UBND xã Bình Thành chịu trách nhiệm tổ chức lựa chọn nhà thầu theo kế hoạch lựa chọn nhà thầu được duyệt đảm bảo tuân thủ các quy định hiện hành.</w:t>
      </w:r>
    </w:p>
    <w:p w:rsidR="00372705" w:rsidRPr="00904335" w:rsidRDefault="00372705" w:rsidP="00F877B3">
      <w:pPr>
        <w:pStyle w:val="BodyTextIndent2"/>
        <w:spacing w:before="0" w:after="0"/>
        <w:ind w:firstLine="720"/>
        <w:rPr>
          <w:color w:val="000000"/>
          <w:szCs w:val="28"/>
          <w:lang w:val="fr-FR"/>
        </w:rPr>
      </w:pPr>
      <w:r w:rsidRPr="00904335">
        <w:rPr>
          <w:b/>
          <w:color w:val="000000"/>
          <w:szCs w:val="28"/>
          <w:lang w:val="fr-FR"/>
        </w:rPr>
        <w:t>Điều 3</w:t>
      </w:r>
      <w:r w:rsidRPr="00904335">
        <w:rPr>
          <w:color w:val="000000"/>
          <w:szCs w:val="28"/>
          <w:lang w:val="fr-FR"/>
        </w:rPr>
        <w:t xml:space="preserve">. Quyết định này có hiệu lực kể từ </w:t>
      </w:r>
      <w:r w:rsidR="007C7766">
        <w:rPr>
          <w:color w:val="000000"/>
          <w:szCs w:val="28"/>
          <w:lang w:val="fr-FR"/>
        </w:rPr>
        <w:t xml:space="preserve">ngày </w:t>
      </w:r>
      <w:r w:rsidRPr="00904335">
        <w:rPr>
          <w:color w:val="000000"/>
          <w:szCs w:val="28"/>
          <w:lang w:val="fr-FR"/>
        </w:rPr>
        <w:t>ký.</w:t>
      </w:r>
    </w:p>
    <w:p w:rsidR="000C17C9" w:rsidRPr="000B74D4" w:rsidRDefault="000C17C9" w:rsidP="00F877B3">
      <w:pPr>
        <w:ind w:firstLine="720"/>
        <w:jc w:val="both"/>
        <w:rPr>
          <w:sz w:val="28"/>
          <w:szCs w:val="28"/>
          <w:lang w:val="nl-NL"/>
        </w:rPr>
      </w:pPr>
      <w:r w:rsidRPr="000B74D4">
        <w:rPr>
          <w:b/>
          <w:bCs/>
          <w:sz w:val="28"/>
          <w:szCs w:val="28"/>
          <w:lang w:val="nl-NL"/>
        </w:rPr>
        <w:t>Điều 4.</w:t>
      </w:r>
      <w:r w:rsidRPr="000B74D4">
        <w:rPr>
          <w:sz w:val="28"/>
          <w:szCs w:val="28"/>
          <w:lang w:val="nl-NL"/>
        </w:rPr>
        <w:t xml:space="preserve"> Chánh Văn phòng HĐND và UBND thị xã, Trưởng phòng Tài chính - Kế hoạch, Chủ tịch UBND </w:t>
      </w:r>
      <w:r>
        <w:rPr>
          <w:sz w:val="28"/>
          <w:szCs w:val="28"/>
          <w:lang w:val="nl-NL"/>
        </w:rPr>
        <w:t>xã Bình Thành</w:t>
      </w:r>
      <w:r w:rsidRPr="000B74D4">
        <w:rPr>
          <w:sz w:val="28"/>
          <w:szCs w:val="28"/>
          <w:lang w:val="nl-NL"/>
        </w:rPr>
        <w:t>, Giám đốc Kho bạc nhà nước Hương Trà và Thủ trưởng các cơ quan có liên quan chịu trách nhiệm thi hành quyết định này./.</w:t>
      </w:r>
    </w:p>
    <w:tbl>
      <w:tblPr>
        <w:tblW w:w="9332" w:type="dxa"/>
        <w:tblLook w:val="01E0" w:firstRow="1" w:lastRow="1" w:firstColumn="1" w:lastColumn="1" w:noHBand="0" w:noVBand="0"/>
      </w:tblPr>
      <w:tblGrid>
        <w:gridCol w:w="5035"/>
        <w:gridCol w:w="4297"/>
      </w:tblGrid>
      <w:tr w:rsidR="00372705" w:rsidRPr="00C96C84" w:rsidTr="006E5790">
        <w:trPr>
          <w:trHeight w:val="993"/>
        </w:trPr>
        <w:tc>
          <w:tcPr>
            <w:tcW w:w="5035" w:type="dxa"/>
          </w:tcPr>
          <w:p w:rsidR="00372705" w:rsidRPr="00E56977" w:rsidRDefault="00372705" w:rsidP="006E5790">
            <w:pPr>
              <w:jc w:val="both"/>
              <w:rPr>
                <w:b/>
                <w:lang w:val="nl-NL"/>
              </w:rPr>
            </w:pPr>
            <w:r w:rsidRPr="00E56977">
              <w:rPr>
                <w:b/>
                <w:i/>
                <w:lang w:val="nl-NL"/>
              </w:rPr>
              <w:t>Nơi nhận</w:t>
            </w:r>
            <w:r w:rsidRPr="00E56977">
              <w:rPr>
                <w:b/>
                <w:lang w:val="nl-NL"/>
              </w:rPr>
              <w:t>:</w:t>
            </w:r>
          </w:p>
          <w:p w:rsidR="00372705" w:rsidRPr="00E56977" w:rsidRDefault="00372705" w:rsidP="006E5790">
            <w:pPr>
              <w:jc w:val="both"/>
              <w:rPr>
                <w:lang w:val="nl-NL"/>
              </w:rPr>
            </w:pPr>
            <w:r w:rsidRPr="00E56977">
              <w:rPr>
                <w:sz w:val="22"/>
                <w:szCs w:val="22"/>
                <w:lang w:val="nl-NL"/>
              </w:rPr>
              <w:t>- Như Điều 4;</w:t>
            </w:r>
          </w:p>
          <w:p w:rsidR="00372705" w:rsidRPr="00E56977" w:rsidRDefault="00372705" w:rsidP="006E5790">
            <w:pPr>
              <w:jc w:val="both"/>
              <w:rPr>
                <w:lang w:val="nl-NL"/>
              </w:rPr>
            </w:pPr>
            <w:r w:rsidRPr="00E56977">
              <w:rPr>
                <w:sz w:val="22"/>
                <w:szCs w:val="22"/>
                <w:lang w:val="nl-NL"/>
              </w:rPr>
              <w:t>- TT.HĐND thị xã;</w:t>
            </w:r>
          </w:p>
          <w:p w:rsidR="00372705" w:rsidRDefault="00372705" w:rsidP="006E5790">
            <w:pPr>
              <w:jc w:val="both"/>
            </w:pPr>
            <w:r w:rsidRPr="00E56977">
              <w:rPr>
                <w:sz w:val="22"/>
                <w:szCs w:val="22"/>
              </w:rPr>
              <w:t>- CT, các P.CT UBND thị xã;</w:t>
            </w:r>
          </w:p>
          <w:p w:rsidR="00372705" w:rsidRPr="00BA18EA" w:rsidRDefault="00372705" w:rsidP="006E5790">
            <w:pPr>
              <w:jc w:val="both"/>
            </w:pPr>
            <w:r w:rsidRPr="00E56977">
              <w:rPr>
                <w:sz w:val="22"/>
                <w:szCs w:val="22"/>
              </w:rPr>
              <w:t>- Lưu: VT.</w:t>
            </w:r>
          </w:p>
        </w:tc>
        <w:tc>
          <w:tcPr>
            <w:tcW w:w="4297" w:type="dxa"/>
          </w:tcPr>
          <w:p w:rsidR="00372705" w:rsidRPr="00E56977" w:rsidRDefault="00372705" w:rsidP="006E5790">
            <w:pPr>
              <w:jc w:val="center"/>
              <w:rPr>
                <w:b/>
                <w:sz w:val="28"/>
                <w:szCs w:val="28"/>
              </w:rPr>
            </w:pPr>
            <w:r w:rsidRPr="00E56977">
              <w:rPr>
                <w:b/>
                <w:sz w:val="28"/>
                <w:szCs w:val="28"/>
              </w:rPr>
              <w:t>TM. UỶ BAN NHÂN DÂN</w:t>
            </w:r>
          </w:p>
          <w:p w:rsidR="00372705" w:rsidRPr="00E56977" w:rsidRDefault="00372705" w:rsidP="006E5790">
            <w:pPr>
              <w:jc w:val="center"/>
              <w:rPr>
                <w:b/>
                <w:sz w:val="26"/>
                <w:szCs w:val="26"/>
              </w:rPr>
            </w:pPr>
            <w:r w:rsidRPr="00E56977">
              <w:rPr>
                <w:b/>
                <w:sz w:val="28"/>
                <w:szCs w:val="28"/>
              </w:rPr>
              <w:t>CHỦ TỊCH</w:t>
            </w:r>
          </w:p>
          <w:p w:rsidR="00372705" w:rsidRDefault="00372705" w:rsidP="00D5248B">
            <w:pPr>
              <w:jc w:val="center"/>
              <w:rPr>
                <w:b/>
                <w:sz w:val="28"/>
                <w:szCs w:val="28"/>
              </w:rPr>
            </w:pPr>
          </w:p>
          <w:p w:rsidR="00372705" w:rsidRDefault="00372705" w:rsidP="00D5248B">
            <w:pPr>
              <w:jc w:val="center"/>
              <w:rPr>
                <w:b/>
                <w:sz w:val="28"/>
                <w:szCs w:val="28"/>
              </w:rPr>
            </w:pPr>
          </w:p>
          <w:p w:rsidR="004464B1" w:rsidRDefault="004464B1" w:rsidP="00D5248B">
            <w:pPr>
              <w:jc w:val="center"/>
              <w:rPr>
                <w:b/>
                <w:sz w:val="28"/>
                <w:szCs w:val="28"/>
              </w:rPr>
            </w:pPr>
          </w:p>
          <w:p w:rsidR="00372705" w:rsidRDefault="00372705" w:rsidP="00D5248B">
            <w:pPr>
              <w:jc w:val="center"/>
              <w:rPr>
                <w:b/>
                <w:sz w:val="28"/>
                <w:szCs w:val="28"/>
              </w:rPr>
            </w:pPr>
          </w:p>
          <w:p w:rsidR="00372705" w:rsidRPr="00C96C84" w:rsidRDefault="00372705" w:rsidP="00D5248B">
            <w:pPr>
              <w:jc w:val="center"/>
              <w:rPr>
                <w:b/>
                <w:sz w:val="28"/>
                <w:szCs w:val="28"/>
              </w:rPr>
            </w:pPr>
          </w:p>
        </w:tc>
      </w:tr>
    </w:tbl>
    <w:p w:rsidR="00372705" w:rsidRDefault="00372705"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2B3C73" w:rsidRDefault="002B3C73" w:rsidP="002B3C73">
      <w:pPr>
        <w:jc w:val="center"/>
        <w:rPr>
          <w:b/>
          <w:szCs w:val="28"/>
        </w:rPr>
        <w:sectPr w:rsidR="002B3C73" w:rsidSect="009B3088">
          <w:pgSz w:w="11907" w:h="16840" w:code="9"/>
          <w:pgMar w:top="1134" w:right="1134" w:bottom="1134" w:left="1701" w:header="720" w:footer="720" w:gutter="0"/>
          <w:cols w:space="720"/>
          <w:docGrid w:linePitch="360"/>
        </w:sectPr>
      </w:pPr>
    </w:p>
    <w:p w:rsidR="002B3C73" w:rsidRPr="00181532" w:rsidRDefault="002B3C73" w:rsidP="002D1230">
      <w:pPr>
        <w:jc w:val="center"/>
        <w:rPr>
          <w:b/>
          <w:sz w:val="28"/>
          <w:szCs w:val="28"/>
        </w:rPr>
      </w:pPr>
      <w:r w:rsidRPr="00181532">
        <w:rPr>
          <w:b/>
          <w:sz w:val="28"/>
          <w:szCs w:val="28"/>
        </w:rPr>
        <w:lastRenderedPageBreak/>
        <w:t>KẾ HOẠCH LỰA CHỌN NHÀ THẦU</w:t>
      </w:r>
    </w:p>
    <w:p w:rsidR="002B3C73" w:rsidRPr="002C0455" w:rsidRDefault="004847EA" w:rsidP="002C0455">
      <w:pPr>
        <w:pStyle w:val="Heading2"/>
        <w:ind w:firstLine="720"/>
        <w:rPr>
          <w:sz w:val="28"/>
          <w:szCs w:val="28"/>
        </w:rPr>
      </w:pPr>
      <w:r>
        <w:rPr>
          <w:sz w:val="28"/>
          <w:szCs w:val="28"/>
        </w:rPr>
        <w:t>Dự toán</w:t>
      </w:r>
      <w:r w:rsidR="00700094" w:rsidRPr="00181532">
        <w:rPr>
          <w:sz w:val="28"/>
          <w:szCs w:val="28"/>
        </w:rPr>
        <w:t>:</w:t>
      </w:r>
      <w:r w:rsidR="002B3C73" w:rsidRPr="00181532">
        <w:rPr>
          <w:sz w:val="28"/>
          <w:szCs w:val="28"/>
        </w:rPr>
        <w:t xml:space="preserve"> </w:t>
      </w:r>
      <w:r w:rsidR="002C0455" w:rsidRPr="002C0455">
        <w:rPr>
          <w:sz w:val="28"/>
          <w:szCs w:val="28"/>
        </w:rPr>
        <w:t>Mua sắm hệ thống âm thanh, màn hình led Hội trường xã Bình Thành</w:t>
      </w:r>
    </w:p>
    <w:p w:rsidR="002B3C73" w:rsidRPr="00181532" w:rsidRDefault="002B3C73" w:rsidP="002D1230">
      <w:pPr>
        <w:jc w:val="center"/>
        <w:rPr>
          <w:i/>
          <w:sz w:val="28"/>
          <w:szCs w:val="28"/>
        </w:rPr>
      </w:pPr>
      <w:r w:rsidRPr="00181532">
        <w:rPr>
          <w:i/>
          <w:sz w:val="28"/>
          <w:szCs w:val="28"/>
        </w:rPr>
        <w:t xml:space="preserve"> (Kèm theo Quyết định số</w:t>
      </w:r>
      <w:r w:rsidR="005115A7">
        <w:rPr>
          <w:i/>
          <w:sz w:val="28"/>
          <w:szCs w:val="28"/>
        </w:rPr>
        <w:t xml:space="preserve"> </w:t>
      </w:r>
      <w:r w:rsidR="000636A7">
        <w:rPr>
          <w:i/>
          <w:sz w:val="28"/>
          <w:szCs w:val="28"/>
        </w:rPr>
        <w:t>1124</w:t>
      </w:r>
      <w:r w:rsidRPr="00181532">
        <w:rPr>
          <w:i/>
          <w:sz w:val="28"/>
          <w:szCs w:val="28"/>
        </w:rPr>
        <w:t xml:space="preserve">/QĐ-UBND ngày </w:t>
      </w:r>
      <w:r w:rsidR="000636A7">
        <w:rPr>
          <w:i/>
          <w:sz w:val="28"/>
          <w:szCs w:val="28"/>
        </w:rPr>
        <w:t>31</w:t>
      </w:r>
      <w:r w:rsidR="00015F12">
        <w:rPr>
          <w:i/>
          <w:sz w:val="28"/>
          <w:szCs w:val="28"/>
        </w:rPr>
        <w:t>/</w:t>
      </w:r>
      <w:r w:rsidR="000636A7">
        <w:rPr>
          <w:i/>
          <w:sz w:val="28"/>
          <w:szCs w:val="28"/>
        </w:rPr>
        <w:t>8</w:t>
      </w:r>
      <w:r w:rsidR="00A15359" w:rsidRPr="00181532">
        <w:rPr>
          <w:i/>
          <w:sz w:val="28"/>
          <w:szCs w:val="28"/>
        </w:rPr>
        <w:t>/2023</w:t>
      </w:r>
      <w:r w:rsidRPr="00181532">
        <w:rPr>
          <w:i/>
          <w:sz w:val="28"/>
          <w:szCs w:val="28"/>
        </w:rPr>
        <w:t xml:space="preserve"> của UBND thị xã Hương Trà)</w:t>
      </w:r>
    </w:p>
    <w:p w:rsidR="002B3C73" w:rsidRPr="00181532" w:rsidRDefault="002B3C73" w:rsidP="002D1230">
      <w:pPr>
        <w:jc w:val="center"/>
        <w:rPr>
          <w:sz w:val="28"/>
          <w:szCs w:val="28"/>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86"/>
        <w:gridCol w:w="1536"/>
        <w:gridCol w:w="1187"/>
        <w:gridCol w:w="1794"/>
        <w:gridCol w:w="1573"/>
        <w:gridCol w:w="1711"/>
        <w:gridCol w:w="1276"/>
        <w:gridCol w:w="1276"/>
      </w:tblGrid>
      <w:tr w:rsidR="00741ABF" w:rsidRPr="001B6198" w:rsidTr="00F877B3">
        <w:tc>
          <w:tcPr>
            <w:tcW w:w="558" w:type="dxa"/>
            <w:shd w:val="clear" w:color="auto" w:fill="auto"/>
            <w:vAlign w:val="center"/>
          </w:tcPr>
          <w:p w:rsidR="002B3C73" w:rsidRPr="00B744C4" w:rsidRDefault="002B3C73" w:rsidP="00741ABF">
            <w:pPr>
              <w:jc w:val="center"/>
              <w:rPr>
                <w:b/>
                <w:sz w:val="26"/>
                <w:szCs w:val="26"/>
              </w:rPr>
            </w:pPr>
            <w:r w:rsidRPr="00B744C4">
              <w:rPr>
                <w:b/>
                <w:sz w:val="26"/>
                <w:szCs w:val="26"/>
              </w:rPr>
              <w:t>Stt</w:t>
            </w:r>
          </w:p>
        </w:tc>
        <w:tc>
          <w:tcPr>
            <w:tcW w:w="4286" w:type="dxa"/>
            <w:shd w:val="clear" w:color="auto" w:fill="auto"/>
            <w:vAlign w:val="center"/>
          </w:tcPr>
          <w:p w:rsidR="002B3C73" w:rsidRPr="00B744C4" w:rsidRDefault="002B3C73" w:rsidP="00741ABF">
            <w:pPr>
              <w:jc w:val="center"/>
              <w:rPr>
                <w:b/>
                <w:sz w:val="26"/>
                <w:szCs w:val="26"/>
              </w:rPr>
            </w:pPr>
            <w:r w:rsidRPr="00B744C4">
              <w:rPr>
                <w:b/>
                <w:sz w:val="26"/>
                <w:szCs w:val="26"/>
              </w:rPr>
              <w:t>Tên gói thầu</w:t>
            </w:r>
          </w:p>
        </w:tc>
        <w:tc>
          <w:tcPr>
            <w:tcW w:w="1536" w:type="dxa"/>
            <w:shd w:val="clear" w:color="auto" w:fill="auto"/>
            <w:vAlign w:val="center"/>
          </w:tcPr>
          <w:p w:rsidR="002B3C73" w:rsidRPr="00B744C4" w:rsidRDefault="002B3C73" w:rsidP="00741ABF">
            <w:pPr>
              <w:jc w:val="center"/>
              <w:rPr>
                <w:b/>
                <w:sz w:val="26"/>
                <w:szCs w:val="26"/>
              </w:rPr>
            </w:pPr>
            <w:r w:rsidRPr="00B744C4">
              <w:rPr>
                <w:b/>
                <w:sz w:val="26"/>
                <w:szCs w:val="26"/>
              </w:rPr>
              <w:t>Giá gói thầu</w:t>
            </w:r>
          </w:p>
          <w:p w:rsidR="002B3C73" w:rsidRPr="00B744C4" w:rsidRDefault="002B3C73" w:rsidP="00AC6F11">
            <w:pPr>
              <w:jc w:val="center"/>
              <w:rPr>
                <w:b/>
                <w:sz w:val="26"/>
                <w:szCs w:val="26"/>
              </w:rPr>
            </w:pPr>
            <w:r w:rsidRPr="00B744C4">
              <w:rPr>
                <w:b/>
                <w:sz w:val="26"/>
                <w:szCs w:val="26"/>
              </w:rPr>
              <w:t>(1000</w:t>
            </w:r>
            <w:r w:rsidR="00AC6F11" w:rsidRPr="00B744C4">
              <w:rPr>
                <w:b/>
                <w:sz w:val="26"/>
                <w:szCs w:val="26"/>
              </w:rPr>
              <w:t xml:space="preserve"> </w:t>
            </w:r>
            <w:r w:rsidRPr="00B744C4">
              <w:rPr>
                <w:b/>
                <w:sz w:val="26"/>
                <w:szCs w:val="26"/>
              </w:rPr>
              <w:t>đồng)</w:t>
            </w:r>
          </w:p>
        </w:tc>
        <w:tc>
          <w:tcPr>
            <w:tcW w:w="1187" w:type="dxa"/>
            <w:shd w:val="clear" w:color="auto" w:fill="auto"/>
            <w:vAlign w:val="center"/>
          </w:tcPr>
          <w:p w:rsidR="002B3C73" w:rsidRPr="00B744C4" w:rsidRDefault="002B3C73" w:rsidP="00741ABF">
            <w:pPr>
              <w:jc w:val="center"/>
              <w:rPr>
                <w:b/>
                <w:sz w:val="26"/>
                <w:szCs w:val="26"/>
              </w:rPr>
            </w:pPr>
            <w:r w:rsidRPr="00B744C4">
              <w:rPr>
                <w:b/>
                <w:sz w:val="26"/>
                <w:szCs w:val="26"/>
              </w:rPr>
              <w:t>Nguồn vốn</w:t>
            </w:r>
          </w:p>
        </w:tc>
        <w:tc>
          <w:tcPr>
            <w:tcW w:w="1794" w:type="dxa"/>
            <w:shd w:val="clear" w:color="auto" w:fill="auto"/>
            <w:vAlign w:val="center"/>
          </w:tcPr>
          <w:p w:rsidR="002B3C73" w:rsidRPr="00B744C4" w:rsidRDefault="002B3C73" w:rsidP="00741ABF">
            <w:pPr>
              <w:jc w:val="center"/>
              <w:rPr>
                <w:b/>
                <w:sz w:val="26"/>
                <w:szCs w:val="26"/>
              </w:rPr>
            </w:pPr>
            <w:r w:rsidRPr="00B744C4">
              <w:rPr>
                <w:b/>
                <w:sz w:val="26"/>
                <w:szCs w:val="26"/>
              </w:rPr>
              <w:t>Hình thức lựa chọn nhà thầu</w:t>
            </w:r>
          </w:p>
        </w:tc>
        <w:tc>
          <w:tcPr>
            <w:tcW w:w="1573" w:type="dxa"/>
            <w:shd w:val="clear" w:color="auto" w:fill="auto"/>
            <w:vAlign w:val="center"/>
          </w:tcPr>
          <w:p w:rsidR="002B3C73" w:rsidRPr="00B744C4" w:rsidRDefault="002B3C73" w:rsidP="00741ABF">
            <w:pPr>
              <w:jc w:val="center"/>
              <w:rPr>
                <w:b/>
                <w:sz w:val="26"/>
                <w:szCs w:val="26"/>
              </w:rPr>
            </w:pPr>
            <w:r w:rsidRPr="00B744C4">
              <w:rPr>
                <w:b/>
                <w:sz w:val="26"/>
                <w:szCs w:val="26"/>
              </w:rPr>
              <w:t>Phương thức lựa chọn nhà thầu</w:t>
            </w:r>
          </w:p>
        </w:tc>
        <w:tc>
          <w:tcPr>
            <w:tcW w:w="1711" w:type="dxa"/>
            <w:shd w:val="clear" w:color="auto" w:fill="auto"/>
            <w:vAlign w:val="center"/>
          </w:tcPr>
          <w:p w:rsidR="002B3C73" w:rsidRPr="00B744C4" w:rsidRDefault="002B3C73" w:rsidP="00741ABF">
            <w:pPr>
              <w:jc w:val="center"/>
              <w:rPr>
                <w:b/>
                <w:sz w:val="26"/>
                <w:szCs w:val="26"/>
              </w:rPr>
            </w:pPr>
            <w:r w:rsidRPr="00B744C4">
              <w:rPr>
                <w:b/>
                <w:sz w:val="26"/>
                <w:szCs w:val="26"/>
              </w:rPr>
              <w:t>Thời gian bắt đầu lựa chọn nhà thầu</w:t>
            </w:r>
          </w:p>
        </w:tc>
        <w:tc>
          <w:tcPr>
            <w:tcW w:w="1276" w:type="dxa"/>
            <w:shd w:val="clear" w:color="auto" w:fill="auto"/>
            <w:vAlign w:val="center"/>
          </w:tcPr>
          <w:p w:rsidR="002B3C73" w:rsidRPr="00B744C4" w:rsidRDefault="002B3C73" w:rsidP="00741ABF">
            <w:pPr>
              <w:jc w:val="center"/>
              <w:rPr>
                <w:b/>
                <w:sz w:val="26"/>
                <w:szCs w:val="26"/>
              </w:rPr>
            </w:pPr>
            <w:r w:rsidRPr="00B744C4">
              <w:rPr>
                <w:b/>
                <w:sz w:val="26"/>
                <w:szCs w:val="26"/>
              </w:rPr>
              <w:t>Loại hợp đồng</w:t>
            </w:r>
          </w:p>
        </w:tc>
        <w:tc>
          <w:tcPr>
            <w:tcW w:w="1276" w:type="dxa"/>
            <w:shd w:val="clear" w:color="auto" w:fill="auto"/>
            <w:vAlign w:val="center"/>
          </w:tcPr>
          <w:p w:rsidR="002B3C73" w:rsidRPr="00B744C4" w:rsidRDefault="002B3C73" w:rsidP="00741ABF">
            <w:pPr>
              <w:jc w:val="center"/>
              <w:rPr>
                <w:b/>
                <w:sz w:val="26"/>
                <w:szCs w:val="26"/>
              </w:rPr>
            </w:pPr>
            <w:r w:rsidRPr="00B744C4">
              <w:rPr>
                <w:b/>
                <w:sz w:val="26"/>
                <w:szCs w:val="26"/>
              </w:rPr>
              <w:t>Thời gian thực hiện hợp đồng</w:t>
            </w:r>
          </w:p>
        </w:tc>
      </w:tr>
      <w:tr w:rsidR="00F877B3" w:rsidRPr="001B6198" w:rsidTr="00F877B3">
        <w:trPr>
          <w:trHeight w:val="491"/>
        </w:trPr>
        <w:tc>
          <w:tcPr>
            <w:tcW w:w="558" w:type="dxa"/>
            <w:shd w:val="clear" w:color="auto" w:fill="auto"/>
            <w:vAlign w:val="center"/>
          </w:tcPr>
          <w:p w:rsidR="00F877B3" w:rsidRPr="00B744C4" w:rsidRDefault="00F877B3" w:rsidP="00F877B3">
            <w:pPr>
              <w:jc w:val="center"/>
              <w:rPr>
                <w:b/>
                <w:sz w:val="26"/>
                <w:szCs w:val="26"/>
              </w:rPr>
            </w:pPr>
            <w:r w:rsidRPr="00B744C4">
              <w:rPr>
                <w:b/>
                <w:sz w:val="26"/>
                <w:szCs w:val="26"/>
              </w:rPr>
              <w:t>I</w:t>
            </w:r>
          </w:p>
        </w:tc>
        <w:tc>
          <w:tcPr>
            <w:tcW w:w="4286" w:type="dxa"/>
            <w:shd w:val="clear" w:color="auto" w:fill="auto"/>
            <w:vAlign w:val="center"/>
          </w:tcPr>
          <w:p w:rsidR="00F877B3" w:rsidRPr="00B744C4" w:rsidRDefault="00F877B3" w:rsidP="00F877B3">
            <w:pPr>
              <w:pStyle w:val="Heading2"/>
              <w:jc w:val="both"/>
              <w:rPr>
                <w:bCs w:val="0"/>
                <w:szCs w:val="26"/>
              </w:rPr>
            </w:pPr>
            <w:r w:rsidRPr="00B744C4">
              <w:rPr>
                <w:bCs w:val="0"/>
                <w:szCs w:val="26"/>
              </w:rPr>
              <w:t>Phần công việc đã thực hiện</w:t>
            </w:r>
          </w:p>
        </w:tc>
        <w:tc>
          <w:tcPr>
            <w:tcW w:w="1536" w:type="dxa"/>
            <w:shd w:val="clear" w:color="auto" w:fill="auto"/>
            <w:vAlign w:val="center"/>
          </w:tcPr>
          <w:p w:rsidR="00F877B3" w:rsidRPr="00F877B3" w:rsidRDefault="00F877B3" w:rsidP="00F877B3">
            <w:pPr>
              <w:jc w:val="right"/>
              <w:rPr>
                <w:b/>
              </w:rPr>
            </w:pPr>
            <w:r w:rsidRPr="00F877B3">
              <w:rPr>
                <w:b/>
              </w:rPr>
              <w:t>4.935</w:t>
            </w:r>
          </w:p>
        </w:tc>
        <w:tc>
          <w:tcPr>
            <w:tcW w:w="1187" w:type="dxa"/>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400"/>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1</w:t>
            </w:r>
          </w:p>
        </w:tc>
        <w:tc>
          <w:tcPr>
            <w:tcW w:w="4286" w:type="dxa"/>
            <w:shd w:val="clear" w:color="auto" w:fill="auto"/>
            <w:vAlign w:val="center"/>
          </w:tcPr>
          <w:p w:rsidR="00F877B3" w:rsidRPr="00B744C4" w:rsidRDefault="00F877B3" w:rsidP="00F877B3">
            <w:pPr>
              <w:pStyle w:val="Heading2"/>
              <w:jc w:val="both"/>
              <w:rPr>
                <w:b w:val="0"/>
                <w:bCs w:val="0"/>
                <w:szCs w:val="26"/>
              </w:rPr>
            </w:pPr>
            <w:r w:rsidRPr="00B744C4">
              <w:rPr>
                <w:b w:val="0"/>
                <w:szCs w:val="26"/>
              </w:rPr>
              <w:t xml:space="preserve">Thẩm định giá </w:t>
            </w:r>
          </w:p>
        </w:tc>
        <w:tc>
          <w:tcPr>
            <w:tcW w:w="1536" w:type="dxa"/>
            <w:shd w:val="clear" w:color="auto" w:fill="auto"/>
            <w:vAlign w:val="center"/>
          </w:tcPr>
          <w:p w:rsidR="00F877B3" w:rsidRPr="00D65A31" w:rsidRDefault="00F877B3" w:rsidP="00F877B3">
            <w:pPr>
              <w:jc w:val="right"/>
            </w:pPr>
            <w:r w:rsidRPr="00D65A31">
              <w:t>4.935</w:t>
            </w:r>
          </w:p>
        </w:tc>
        <w:tc>
          <w:tcPr>
            <w:tcW w:w="1187" w:type="dxa"/>
            <w:vMerge w:val="restart"/>
            <w:shd w:val="clear" w:color="auto" w:fill="auto"/>
            <w:vAlign w:val="center"/>
          </w:tcPr>
          <w:p w:rsidR="00F877B3" w:rsidRPr="00F877B3" w:rsidRDefault="00F877B3" w:rsidP="00F877B3">
            <w:pPr>
              <w:jc w:val="center"/>
              <w:rPr>
                <w:sz w:val="26"/>
                <w:szCs w:val="26"/>
              </w:rPr>
            </w:pPr>
            <w:r w:rsidRPr="00F877B3">
              <w:rPr>
                <w:color w:val="000000"/>
                <w:sz w:val="26"/>
                <w:szCs w:val="26"/>
                <w:lang w:val="fr-FR"/>
              </w:rPr>
              <w:t>Nguồn bổ sung có mục tiêu tỉnh 450 triệu đồng, phần còn lại ngân sách xã Bình Thành</w:t>
            </w: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Đã thực hiện</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713"/>
        </w:trPr>
        <w:tc>
          <w:tcPr>
            <w:tcW w:w="558" w:type="dxa"/>
            <w:shd w:val="clear" w:color="auto" w:fill="auto"/>
            <w:vAlign w:val="center"/>
          </w:tcPr>
          <w:p w:rsidR="00F877B3" w:rsidRPr="00B744C4" w:rsidRDefault="00F877B3" w:rsidP="00F877B3">
            <w:pPr>
              <w:jc w:val="center"/>
              <w:rPr>
                <w:b/>
                <w:sz w:val="26"/>
                <w:szCs w:val="26"/>
              </w:rPr>
            </w:pPr>
            <w:r w:rsidRPr="00B744C4">
              <w:rPr>
                <w:b/>
                <w:sz w:val="26"/>
                <w:szCs w:val="26"/>
              </w:rPr>
              <w:t>II</w:t>
            </w:r>
          </w:p>
        </w:tc>
        <w:tc>
          <w:tcPr>
            <w:tcW w:w="4286" w:type="dxa"/>
            <w:shd w:val="clear" w:color="auto" w:fill="auto"/>
            <w:vAlign w:val="center"/>
          </w:tcPr>
          <w:p w:rsidR="00F877B3" w:rsidRPr="00B744C4" w:rsidRDefault="00F877B3" w:rsidP="00F877B3">
            <w:pPr>
              <w:pStyle w:val="Heading2"/>
              <w:jc w:val="both"/>
              <w:rPr>
                <w:bCs w:val="0"/>
                <w:szCs w:val="26"/>
              </w:rPr>
            </w:pPr>
            <w:r w:rsidRPr="00B744C4">
              <w:rPr>
                <w:bCs w:val="0"/>
                <w:szCs w:val="26"/>
              </w:rPr>
              <w:t>Phần công việc thuộc kế hoạch lựa chọn nhà thầu</w:t>
            </w:r>
          </w:p>
        </w:tc>
        <w:tc>
          <w:tcPr>
            <w:tcW w:w="1536" w:type="dxa"/>
            <w:shd w:val="clear" w:color="auto" w:fill="auto"/>
            <w:vAlign w:val="center"/>
          </w:tcPr>
          <w:p w:rsidR="00F877B3" w:rsidRPr="00F877B3" w:rsidRDefault="00F877B3" w:rsidP="00F877B3">
            <w:pPr>
              <w:jc w:val="right"/>
              <w:rPr>
                <w:b/>
              </w:rPr>
            </w:pPr>
            <w:r w:rsidRPr="00F877B3">
              <w:rPr>
                <w:b/>
              </w:rPr>
              <w:t>453.016</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821"/>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1</w:t>
            </w:r>
          </w:p>
        </w:tc>
        <w:tc>
          <w:tcPr>
            <w:tcW w:w="4286" w:type="dxa"/>
            <w:shd w:val="clear" w:color="auto" w:fill="auto"/>
            <w:vAlign w:val="center"/>
          </w:tcPr>
          <w:p w:rsidR="00F877B3" w:rsidRPr="00B744C4" w:rsidRDefault="00F877B3" w:rsidP="00F877B3">
            <w:pPr>
              <w:pStyle w:val="Heading2"/>
              <w:jc w:val="both"/>
              <w:rPr>
                <w:b w:val="0"/>
                <w:szCs w:val="26"/>
              </w:rPr>
            </w:pPr>
            <w:r w:rsidRPr="00B744C4">
              <w:rPr>
                <w:b w:val="0"/>
                <w:color w:val="000000"/>
                <w:szCs w:val="26"/>
              </w:rPr>
              <w:t>Gói thầu số 1: Tư vấn lập hồ sơ mời thầu và đánh giá hồ sơ dự thầu</w:t>
            </w:r>
          </w:p>
        </w:tc>
        <w:tc>
          <w:tcPr>
            <w:tcW w:w="1536" w:type="dxa"/>
            <w:shd w:val="clear" w:color="auto" w:fill="auto"/>
            <w:vAlign w:val="center"/>
          </w:tcPr>
          <w:p w:rsidR="00F877B3" w:rsidRPr="00D65A31" w:rsidRDefault="00F877B3" w:rsidP="00F877B3">
            <w:pPr>
              <w:jc w:val="right"/>
            </w:pPr>
            <w:r w:rsidRPr="00D65A31">
              <w:t>2.200</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Chỉ định thầu</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r w:rsidRPr="00B744C4">
              <w:rPr>
                <w:sz w:val="26"/>
                <w:szCs w:val="26"/>
              </w:rPr>
              <w:t>Quý III/2023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 xml:space="preserve">30 ngày </w:t>
            </w:r>
          </w:p>
        </w:tc>
      </w:tr>
      <w:tr w:rsidR="00F877B3" w:rsidRPr="001B6198" w:rsidTr="00F877B3">
        <w:trPr>
          <w:trHeight w:val="773"/>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2</w:t>
            </w:r>
          </w:p>
        </w:tc>
        <w:tc>
          <w:tcPr>
            <w:tcW w:w="4286" w:type="dxa"/>
            <w:shd w:val="clear" w:color="auto" w:fill="auto"/>
            <w:vAlign w:val="center"/>
          </w:tcPr>
          <w:p w:rsidR="00F877B3" w:rsidRPr="00B744C4" w:rsidRDefault="00F877B3" w:rsidP="00F877B3">
            <w:pPr>
              <w:rPr>
                <w:sz w:val="26"/>
                <w:szCs w:val="26"/>
              </w:rPr>
            </w:pPr>
            <w:r w:rsidRPr="00B744C4">
              <w:rPr>
                <w:color w:val="000000"/>
                <w:sz w:val="26"/>
                <w:szCs w:val="26"/>
              </w:rPr>
              <w:t>Gói thầu số 2: Thẩm định HSMT và kết quả LCNT</w:t>
            </w:r>
          </w:p>
        </w:tc>
        <w:tc>
          <w:tcPr>
            <w:tcW w:w="1536" w:type="dxa"/>
            <w:shd w:val="clear" w:color="auto" w:fill="auto"/>
            <w:vAlign w:val="center"/>
          </w:tcPr>
          <w:p w:rsidR="00F877B3" w:rsidRPr="00D65A31" w:rsidRDefault="00F877B3" w:rsidP="00F877B3">
            <w:pPr>
              <w:jc w:val="right"/>
            </w:pPr>
            <w:r w:rsidRPr="00D65A31">
              <w:t>2.200</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Chỉ định thầu</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r w:rsidRPr="00B744C4">
              <w:rPr>
                <w:sz w:val="26"/>
                <w:szCs w:val="26"/>
              </w:rPr>
              <w:t>Quý III/2023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30 ngày</w:t>
            </w:r>
          </w:p>
        </w:tc>
      </w:tr>
      <w:tr w:rsidR="00F877B3" w:rsidRPr="001B6198" w:rsidTr="00F877B3">
        <w:tc>
          <w:tcPr>
            <w:tcW w:w="558" w:type="dxa"/>
            <w:shd w:val="clear" w:color="auto" w:fill="auto"/>
            <w:vAlign w:val="center"/>
          </w:tcPr>
          <w:p w:rsidR="00F877B3" w:rsidRPr="00B744C4" w:rsidRDefault="00F877B3" w:rsidP="00F877B3">
            <w:pPr>
              <w:jc w:val="center"/>
              <w:rPr>
                <w:sz w:val="26"/>
                <w:szCs w:val="26"/>
              </w:rPr>
            </w:pPr>
            <w:r w:rsidRPr="00B744C4">
              <w:rPr>
                <w:sz w:val="26"/>
                <w:szCs w:val="26"/>
              </w:rPr>
              <w:t>3</w:t>
            </w:r>
          </w:p>
        </w:tc>
        <w:tc>
          <w:tcPr>
            <w:tcW w:w="4286" w:type="dxa"/>
            <w:shd w:val="clear" w:color="auto" w:fill="auto"/>
            <w:vAlign w:val="center"/>
          </w:tcPr>
          <w:p w:rsidR="00F877B3" w:rsidRPr="00B744C4" w:rsidRDefault="00F877B3" w:rsidP="00F877B3">
            <w:pPr>
              <w:rPr>
                <w:b/>
                <w:sz w:val="26"/>
                <w:szCs w:val="26"/>
              </w:rPr>
            </w:pPr>
            <w:r w:rsidRPr="00B744C4">
              <w:rPr>
                <w:color w:val="000000"/>
                <w:sz w:val="26"/>
                <w:szCs w:val="26"/>
              </w:rPr>
              <w:t xml:space="preserve">Gói thầu số 3: </w:t>
            </w:r>
            <w:r w:rsidRPr="00B744C4">
              <w:rPr>
                <w:sz w:val="26"/>
                <w:szCs w:val="26"/>
              </w:rPr>
              <w:t>Mua sắm hệ thống âm thanh, màn hình led Hội trường xã Bình Thành</w:t>
            </w:r>
          </w:p>
        </w:tc>
        <w:tc>
          <w:tcPr>
            <w:tcW w:w="1536" w:type="dxa"/>
            <w:shd w:val="clear" w:color="auto" w:fill="auto"/>
            <w:vAlign w:val="center"/>
          </w:tcPr>
          <w:p w:rsidR="00F877B3" w:rsidRPr="00D65A31" w:rsidRDefault="00F877B3" w:rsidP="00F877B3">
            <w:pPr>
              <w:jc w:val="right"/>
            </w:pPr>
            <w:r w:rsidRPr="00D65A31">
              <w:t>448.616</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3224B" w:rsidP="00F877B3">
            <w:pPr>
              <w:jc w:val="center"/>
              <w:rPr>
                <w:sz w:val="26"/>
                <w:szCs w:val="26"/>
              </w:rPr>
            </w:pPr>
            <w:r>
              <w:rPr>
                <w:sz w:val="26"/>
                <w:szCs w:val="26"/>
              </w:rPr>
              <w:t>Chào hàng cạnh tranh</w:t>
            </w:r>
            <w:r w:rsidR="00F877B3" w:rsidRPr="00B744C4">
              <w:rPr>
                <w:sz w:val="26"/>
                <w:szCs w:val="26"/>
              </w:rPr>
              <w:t xml:space="preserve"> qua mạng</w:t>
            </w:r>
          </w:p>
        </w:tc>
        <w:tc>
          <w:tcPr>
            <w:tcW w:w="1573" w:type="dxa"/>
            <w:shd w:val="clear" w:color="auto" w:fill="auto"/>
            <w:vAlign w:val="center"/>
          </w:tcPr>
          <w:p w:rsidR="00F877B3" w:rsidRPr="00B744C4" w:rsidRDefault="00F877B3" w:rsidP="00F877B3">
            <w:pPr>
              <w:jc w:val="center"/>
              <w:rPr>
                <w:sz w:val="26"/>
                <w:szCs w:val="26"/>
              </w:rPr>
            </w:pPr>
            <w:r w:rsidRPr="00B744C4">
              <w:rPr>
                <w:sz w:val="26"/>
                <w:szCs w:val="26"/>
              </w:rPr>
              <w:t>Một giai đoạn 01 túi hồ sơ</w:t>
            </w:r>
          </w:p>
        </w:tc>
        <w:tc>
          <w:tcPr>
            <w:tcW w:w="1711" w:type="dxa"/>
            <w:shd w:val="clear" w:color="auto" w:fill="auto"/>
            <w:vAlign w:val="center"/>
          </w:tcPr>
          <w:p w:rsidR="00F877B3" w:rsidRPr="00B744C4" w:rsidRDefault="00F3224B" w:rsidP="00F877B3">
            <w:pPr>
              <w:jc w:val="center"/>
              <w:rPr>
                <w:sz w:val="26"/>
                <w:szCs w:val="26"/>
              </w:rPr>
            </w:pPr>
            <w:r>
              <w:rPr>
                <w:sz w:val="26"/>
                <w:szCs w:val="26"/>
              </w:rPr>
              <w:t>Quý III</w:t>
            </w:r>
            <w:r w:rsidR="00F877B3" w:rsidRPr="00B744C4">
              <w:rPr>
                <w:sz w:val="26"/>
                <w:szCs w:val="26"/>
              </w:rPr>
              <w:t>/2023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20 ngày</w:t>
            </w:r>
          </w:p>
        </w:tc>
      </w:tr>
      <w:tr w:rsidR="00F877B3" w:rsidRPr="00181532" w:rsidTr="00F877B3">
        <w:tc>
          <w:tcPr>
            <w:tcW w:w="558" w:type="dxa"/>
            <w:shd w:val="clear" w:color="auto" w:fill="auto"/>
            <w:vAlign w:val="center"/>
          </w:tcPr>
          <w:p w:rsidR="00F877B3" w:rsidRPr="00181532" w:rsidRDefault="00F877B3" w:rsidP="00F877B3">
            <w:pPr>
              <w:jc w:val="center"/>
              <w:rPr>
                <w:b/>
                <w:sz w:val="28"/>
                <w:szCs w:val="28"/>
              </w:rPr>
            </w:pPr>
          </w:p>
        </w:tc>
        <w:tc>
          <w:tcPr>
            <w:tcW w:w="4286" w:type="dxa"/>
            <w:shd w:val="clear" w:color="auto" w:fill="auto"/>
            <w:vAlign w:val="center"/>
          </w:tcPr>
          <w:p w:rsidR="00F877B3" w:rsidRPr="00181532" w:rsidRDefault="00F877B3" w:rsidP="00F877B3">
            <w:pPr>
              <w:jc w:val="center"/>
              <w:rPr>
                <w:b/>
                <w:sz w:val="28"/>
                <w:szCs w:val="28"/>
              </w:rPr>
            </w:pPr>
            <w:r w:rsidRPr="00181532">
              <w:rPr>
                <w:b/>
                <w:sz w:val="28"/>
                <w:szCs w:val="28"/>
              </w:rPr>
              <w:t>Cộng</w:t>
            </w:r>
          </w:p>
        </w:tc>
        <w:tc>
          <w:tcPr>
            <w:tcW w:w="1536" w:type="dxa"/>
            <w:shd w:val="clear" w:color="auto" w:fill="auto"/>
            <w:vAlign w:val="center"/>
          </w:tcPr>
          <w:p w:rsidR="00F877B3" w:rsidRPr="00F877B3" w:rsidRDefault="00F877B3" w:rsidP="00F877B3">
            <w:pPr>
              <w:jc w:val="right"/>
              <w:rPr>
                <w:b/>
              </w:rPr>
            </w:pPr>
            <w:r w:rsidRPr="00F877B3">
              <w:rPr>
                <w:b/>
              </w:rPr>
              <w:t>457.951</w:t>
            </w:r>
          </w:p>
        </w:tc>
        <w:tc>
          <w:tcPr>
            <w:tcW w:w="1187" w:type="dxa"/>
            <w:shd w:val="clear" w:color="auto" w:fill="auto"/>
            <w:vAlign w:val="center"/>
          </w:tcPr>
          <w:p w:rsidR="00F877B3" w:rsidRPr="00181532" w:rsidRDefault="00F877B3" w:rsidP="00F877B3">
            <w:pPr>
              <w:jc w:val="center"/>
              <w:rPr>
                <w:b/>
                <w:sz w:val="28"/>
                <w:szCs w:val="28"/>
              </w:rPr>
            </w:pPr>
          </w:p>
        </w:tc>
        <w:tc>
          <w:tcPr>
            <w:tcW w:w="1794" w:type="dxa"/>
            <w:shd w:val="clear" w:color="auto" w:fill="auto"/>
            <w:vAlign w:val="center"/>
          </w:tcPr>
          <w:p w:rsidR="00F877B3" w:rsidRPr="00181532" w:rsidRDefault="00F877B3" w:rsidP="00F877B3">
            <w:pPr>
              <w:jc w:val="center"/>
              <w:rPr>
                <w:b/>
                <w:sz w:val="28"/>
                <w:szCs w:val="28"/>
              </w:rPr>
            </w:pPr>
          </w:p>
        </w:tc>
        <w:tc>
          <w:tcPr>
            <w:tcW w:w="1573" w:type="dxa"/>
            <w:shd w:val="clear" w:color="auto" w:fill="auto"/>
            <w:vAlign w:val="center"/>
          </w:tcPr>
          <w:p w:rsidR="00F877B3" w:rsidRPr="00181532" w:rsidRDefault="00F877B3" w:rsidP="00F877B3">
            <w:pPr>
              <w:jc w:val="center"/>
              <w:rPr>
                <w:b/>
                <w:sz w:val="28"/>
                <w:szCs w:val="28"/>
              </w:rPr>
            </w:pPr>
          </w:p>
        </w:tc>
        <w:tc>
          <w:tcPr>
            <w:tcW w:w="1711" w:type="dxa"/>
            <w:shd w:val="clear" w:color="auto" w:fill="auto"/>
            <w:vAlign w:val="center"/>
          </w:tcPr>
          <w:p w:rsidR="00F877B3" w:rsidRPr="00181532" w:rsidRDefault="00F877B3" w:rsidP="00F877B3">
            <w:pPr>
              <w:jc w:val="center"/>
              <w:rPr>
                <w:b/>
                <w:sz w:val="28"/>
                <w:szCs w:val="28"/>
              </w:rPr>
            </w:pPr>
          </w:p>
        </w:tc>
        <w:tc>
          <w:tcPr>
            <w:tcW w:w="1276" w:type="dxa"/>
            <w:shd w:val="clear" w:color="auto" w:fill="auto"/>
            <w:vAlign w:val="center"/>
          </w:tcPr>
          <w:p w:rsidR="00F877B3" w:rsidRPr="00181532" w:rsidRDefault="00F877B3" w:rsidP="00F877B3">
            <w:pPr>
              <w:jc w:val="center"/>
              <w:rPr>
                <w:b/>
                <w:sz w:val="28"/>
                <w:szCs w:val="28"/>
              </w:rPr>
            </w:pPr>
          </w:p>
        </w:tc>
        <w:tc>
          <w:tcPr>
            <w:tcW w:w="1276" w:type="dxa"/>
            <w:shd w:val="clear" w:color="auto" w:fill="auto"/>
            <w:vAlign w:val="center"/>
          </w:tcPr>
          <w:p w:rsidR="00F877B3" w:rsidRPr="00181532" w:rsidRDefault="00F877B3" w:rsidP="00F877B3">
            <w:pPr>
              <w:jc w:val="center"/>
              <w:rPr>
                <w:b/>
                <w:sz w:val="28"/>
                <w:szCs w:val="28"/>
              </w:rPr>
            </w:pPr>
          </w:p>
        </w:tc>
      </w:tr>
    </w:tbl>
    <w:p w:rsidR="00015F12" w:rsidRDefault="00015F12" w:rsidP="009B37A4">
      <w:pPr>
        <w:pStyle w:val="NormalWeb"/>
        <w:shd w:val="clear" w:color="auto" w:fill="FFFFFF"/>
        <w:spacing w:before="0" w:beforeAutospacing="0" w:after="0" w:afterAutospacing="0" w:line="234" w:lineRule="atLeast"/>
        <w:rPr>
          <w:b/>
          <w:bCs/>
          <w:color w:val="000000"/>
          <w:sz w:val="28"/>
          <w:szCs w:val="28"/>
        </w:rPr>
        <w:sectPr w:rsidR="00015F12" w:rsidSect="00410CB8">
          <w:pgSz w:w="16840" w:h="11907" w:orient="landscape" w:code="9"/>
          <w:pgMar w:top="1134" w:right="851" w:bottom="1134" w:left="1021" w:header="720" w:footer="720" w:gutter="0"/>
          <w:cols w:space="720"/>
          <w:docGrid w:linePitch="360"/>
        </w:sectPr>
      </w:pPr>
      <w:bookmarkStart w:id="1" w:name="dieu_11"/>
    </w:p>
    <w:bookmarkEnd w:id="1"/>
    <w:p w:rsidR="009B37A4" w:rsidRDefault="009B37A4" w:rsidP="009B37A4">
      <w:pPr>
        <w:pStyle w:val="NormalWeb"/>
        <w:shd w:val="clear" w:color="auto" w:fill="FFFFFF"/>
        <w:spacing w:before="0" w:beforeAutospacing="0" w:after="0" w:afterAutospacing="0" w:line="234" w:lineRule="atLeast"/>
        <w:rPr>
          <w:rFonts w:ascii="Arial" w:hAnsi="Arial" w:cs="Arial"/>
          <w:b/>
          <w:bCs/>
          <w:color w:val="000000"/>
          <w:sz w:val="18"/>
          <w:szCs w:val="18"/>
        </w:rPr>
      </w:pPr>
    </w:p>
    <w:sectPr w:rsidR="009B37A4" w:rsidSect="009B308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CC" w:rsidRDefault="006E0FCC" w:rsidP="00CE3DFF">
      <w:r>
        <w:separator/>
      </w:r>
    </w:p>
  </w:endnote>
  <w:endnote w:type="continuationSeparator" w:id="0">
    <w:p w:rsidR="006E0FCC" w:rsidRDefault="006E0FCC" w:rsidP="00CE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CC" w:rsidRDefault="006E0FCC" w:rsidP="00CE3DFF">
      <w:r>
        <w:separator/>
      </w:r>
    </w:p>
  </w:footnote>
  <w:footnote w:type="continuationSeparator" w:id="0">
    <w:p w:rsidR="006E0FCC" w:rsidRDefault="006E0FCC" w:rsidP="00CE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66DF7"/>
    <w:multiLevelType w:val="hybridMultilevel"/>
    <w:tmpl w:val="30AC8356"/>
    <w:lvl w:ilvl="0" w:tplc="61D6A61E">
      <w:numFmt w:val="bullet"/>
      <w:pStyle w:val="Gachdaudong"/>
      <w:lvlText w:val="-"/>
      <w:lvlJc w:val="left"/>
      <w:pPr>
        <w:tabs>
          <w:tab w:val="num" w:pos="680"/>
        </w:tabs>
        <w:ind w:firstLine="737"/>
      </w:pPr>
      <w:rPr>
        <w:rFonts w:hint="default"/>
      </w:rPr>
    </w:lvl>
    <w:lvl w:ilvl="1" w:tplc="04090003">
      <w:numFmt w:val="bullet"/>
      <w:lvlText w:val=""/>
      <w:lvlJc w:val="left"/>
      <w:pPr>
        <w:tabs>
          <w:tab w:val="num" w:pos="1522"/>
        </w:tabs>
        <w:ind w:left="1522" w:hanging="955"/>
      </w:pPr>
      <w:rPr>
        <w:rFonts w:ascii="Symbol" w:hAnsi="Symbol"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63"/>
    <w:rsid w:val="00000EC4"/>
    <w:rsid w:val="0000577C"/>
    <w:rsid w:val="000118BC"/>
    <w:rsid w:val="000119DB"/>
    <w:rsid w:val="000127CC"/>
    <w:rsid w:val="00015F12"/>
    <w:rsid w:val="00023629"/>
    <w:rsid w:val="00030D6B"/>
    <w:rsid w:val="00032DDE"/>
    <w:rsid w:val="000436DE"/>
    <w:rsid w:val="00045014"/>
    <w:rsid w:val="0006041D"/>
    <w:rsid w:val="00060DF6"/>
    <w:rsid w:val="000636A7"/>
    <w:rsid w:val="0006579D"/>
    <w:rsid w:val="000725DB"/>
    <w:rsid w:val="00087720"/>
    <w:rsid w:val="0008794E"/>
    <w:rsid w:val="00095A35"/>
    <w:rsid w:val="0009664E"/>
    <w:rsid w:val="000A15F1"/>
    <w:rsid w:val="000A1A42"/>
    <w:rsid w:val="000A6FCF"/>
    <w:rsid w:val="000A7A6B"/>
    <w:rsid w:val="000B360B"/>
    <w:rsid w:val="000B7E4C"/>
    <w:rsid w:val="000C17C9"/>
    <w:rsid w:val="000E023D"/>
    <w:rsid w:val="000F0AC3"/>
    <w:rsid w:val="000F6EC8"/>
    <w:rsid w:val="001048F7"/>
    <w:rsid w:val="00104EB7"/>
    <w:rsid w:val="00112408"/>
    <w:rsid w:val="00113A41"/>
    <w:rsid w:val="00116DAC"/>
    <w:rsid w:val="0012109C"/>
    <w:rsid w:val="001365DA"/>
    <w:rsid w:val="00143771"/>
    <w:rsid w:val="001445B7"/>
    <w:rsid w:val="00146475"/>
    <w:rsid w:val="0014658E"/>
    <w:rsid w:val="001506F5"/>
    <w:rsid w:val="00150F66"/>
    <w:rsid w:val="00162336"/>
    <w:rsid w:val="00164241"/>
    <w:rsid w:val="001667AB"/>
    <w:rsid w:val="00167728"/>
    <w:rsid w:val="0017233C"/>
    <w:rsid w:val="00181532"/>
    <w:rsid w:val="001836C4"/>
    <w:rsid w:val="00186283"/>
    <w:rsid w:val="001901DB"/>
    <w:rsid w:val="001A0488"/>
    <w:rsid w:val="001B3614"/>
    <w:rsid w:val="001B451F"/>
    <w:rsid w:val="001B6198"/>
    <w:rsid w:val="001C23E5"/>
    <w:rsid w:val="001C7DC6"/>
    <w:rsid w:val="001D1A1A"/>
    <w:rsid w:val="001E2702"/>
    <w:rsid w:val="001E542B"/>
    <w:rsid w:val="001F3E82"/>
    <w:rsid w:val="002001D3"/>
    <w:rsid w:val="00206CDA"/>
    <w:rsid w:val="00210E32"/>
    <w:rsid w:val="002132D1"/>
    <w:rsid w:val="00213A7F"/>
    <w:rsid w:val="00221219"/>
    <w:rsid w:val="00225ECE"/>
    <w:rsid w:val="00226B71"/>
    <w:rsid w:val="00232867"/>
    <w:rsid w:val="00235B42"/>
    <w:rsid w:val="00244735"/>
    <w:rsid w:val="002447BD"/>
    <w:rsid w:val="00252D33"/>
    <w:rsid w:val="002574AE"/>
    <w:rsid w:val="0026220D"/>
    <w:rsid w:val="00264923"/>
    <w:rsid w:val="002740A1"/>
    <w:rsid w:val="002801AB"/>
    <w:rsid w:val="00284EEC"/>
    <w:rsid w:val="002948E7"/>
    <w:rsid w:val="00297F95"/>
    <w:rsid w:val="002A1EF4"/>
    <w:rsid w:val="002A5D50"/>
    <w:rsid w:val="002A5F19"/>
    <w:rsid w:val="002B22F3"/>
    <w:rsid w:val="002B3C73"/>
    <w:rsid w:val="002B5E8E"/>
    <w:rsid w:val="002B6688"/>
    <w:rsid w:val="002C0455"/>
    <w:rsid w:val="002D1059"/>
    <w:rsid w:val="002D1230"/>
    <w:rsid w:val="002D4FBC"/>
    <w:rsid w:val="002D6364"/>
    <w:rsid w:val="002E4FA0"/>
    <w:rsid w:val="0030669D"/>
    <w:rsid w:val="00321764"/>
    <w:rsid w:val="00335A47"/>
    <w:rsid w:val="00336235"/>
    <w:rsid w:val="00337A11"/>
    <w:rsid w:val="00372705"/>
    <w:rsid w:val="00381B89"/>
    <w:rsid w:val="00385872"/>
    <w:rsid w:val="00391175"/>
    <w:rsid w:val="00392E8F"/>
    <w:rsid w:val="003A0C97"/>
    <w:rsid w:val="003A3C54"/>
    <w:rsid w:val="003B297C"/>
    <w:rsid w:val="003B3545"/>
    <w:rsid w:val="003C6A84"/>
    <w:rsid w:val="003D0C9A"/>
    <w:rsid w:val="00410CB8"/>
    <w:rsid w:val="0041257C"/>
    <w:rsid w:val="00413961"/>
    <w:rsid w:val="00414F7B"/>
    <w:rsid w:val="00423379"/>
    <w:rsid w:val="0042605B"/>
    <w:rsid w:val="00430215"/>
    <w:rsid w:val="00431BFD"/>
    <w:rsid w:val="00440AFD"/>
    <w:rsid w:val="00445659"/>
    <w:rsid w:val="004464B1"/>
    <w:rsid w:val="004465E8"/>
    <w:rsid w:val="004472D8"/>
    <w:rsid w:val="0045032D"/>
    <w:rsid w:val="00452686"/>
    <w:rsid w:val="00466C72"/>
    <w:rsid w:val="0046702C"/>
    <w:rsid w:val="004678AC"/>
    <w:rsid w:val="00467B66"/>
    <w:rsid w:val="00471961"/>
    <w:rsid w:val="00471B6B"/>
    <w:rsid w:val="0047307C"/>
    <w:rsid w:val="004741A9"/>
    <w:rsid w:val="004750E0"/>
    <w:rsid w:val="00477454"/>
    <w:rsid w:val="004847EA"/>
    <w:rsid w:val="004A0F61"/>
    <w:rsid w:val="004B509D"/>
    <w:rsid w:val="004D0E1A"/>
    <w:rsid w:val="004D4D47"/>
    <w:rsid w:val="004D543F"/>
    <w:rsid w:val="004D58A9"/>
    <w:rsid w:val="004D7ECE"/>
    <w:rsid w:val="004E1573"/>
    <w:rsid w:val="004E283F"/>
    <w:rsid w:val="004E3FB3"/>
    <w:rsid w:val="004F1FCE"/>
    <w:rsid w:val="00507D09"/>
    <w:rsid w:val="00507FE0"/>
    <w:rsid w:val="005115A7"/>
    <w:rsid w:val="00524186"/>
    <w:rsid w:val="0053127C"/>
    <w:rsid w:val="00535CE2"/>
    <w:rsid w:val="00541C8D"/>
    <w:rsid w:val="00542DF7"/>
    <w:rsid w:val="00562681"/>
    <w:rsid w:val="00573F72"/>
    <w:rsid w:val="005771DC"/>
    <w:rsid w:val="00577382"/>
    <w:rsid w:val="0058411A"/>
    <w:rsid w:val="005860F7"/>
    <w:rsid w:val="0059173F"/>
    <w:rsid w:val="00597748"/>
    <w:rsid w:val="005C529F"/>
    <w:rsid w:val="005C62FA"/>
    <w:rsid w:val="005D6819"/>
    <w:rsid w:val="005E0B00"/>
    <w:rsid w:val="005E5883"/>
    <w:rsid w:val="005F667F"/>
    <w:rsid w:val="005F75F2"/>
    <w:rsid w:val="00615A15"/>
    <w:rsid w:val="00615AFE"/>
    <w:rsid w:val="006174A0"/>
    <w:rsid w:val="00633A69"/>
    <w:rsid w:val="00636081"/>
    <w:rsid w:val="00640635"/>
    <w:rsid w:val="006461C5"/>
    <w:rsid w:val="00653056"/>
    <w:rsid w:val="00662407"/>
    <w:rsid w:val="0066428B"/>
    <w:rsid w:val="00667F56"/>
    <w:rsid w:val="00672A70"/>
    <w:rsid w:val="00674F30"/>
    <w:rsid w:val="0068137C"/>
    <w:rsid w:val="00686D86"/>
    <w:rsid w:val="006937E1"/>
    <w:rsid w:val="006A0CE0"/>
    <w:rsid w:val="006A11BA"/>
    <w:rsid w:val="006A7484"/>
    <w:rsid w:val="006A772F"/>
    <w:rsid w:val="006A7736"/>
    <w:rsid w:val="006B2948"/>
    <w:rsid w:val="006B3DEB"/>
    <w:rsid w:val="006B500D"/>
    <w:rsid w:val="006B5F33"/>
    <w:rsid w:val="006B7E67"/>
    <w:rsid w:val="006C4A8A"/>
    <w:rsid w:val="006C7768"/>
    <w:rsid w:val="006D2E87"/>
    <w:rsid w:val="006D3336"/>
    <w:rsid w:val="006D37D8"/>
    <w:rsid w:val="006E0FCC"/>
    <w:rsid w:val="006E342A"/>
    <w:rsid w:val="006E37F5"/>
    <w:rsid w:val="006E5790"/>
    <w:rsid w:val="006F2456"/>
    <w:rsid w:val="006F3301"/>
    <w:rsid w:val="006F48C1"/>
    <w:rsid w:val="006F63AE"/>
    <w:rsid w:val="00700094"/>
    <w:rsid w:val="00703536"/>
    <w:rsid w:val="00711D80"/>
    <w:rsid w:val="0072570C"/>
    <w:rsid w:val="00726CF5"/>
    <w:rsid w:val="00730617"/>
    <w:rsid w:val="00741ABF"/>
    <w:rsid w:val="00743A3C"/>
    <w:rsid w:val="00745AE2"/>
    <w:rsid w:val="007470F6"/>
    <w:rsid w:val="00747D17"/>
    <w:rsid w:val="00754585"/>
    <w:rsid w:val="00756B80"/>
    <w:rsid w:val="00761400"/>
    <w:rsid w:val="00763B78"/>
    <w:rsid w:val="007702C0"/>
    <w:rsid w:val="0077730A"/>
    <w:rsid w:val="00791C7B"/>
    <w:rsid w:val="00794FE4"/>
    <w:rsid w:val="00795C51"/>
    <w:rsid w:val="007A048E"/>
    <w:rsid w:val="007A090B"/>
    <w:rsid w:val="007A2FA7"/>
    <w:rsid w:val="007A373C"/>
    <w:rsid w:val="007A580D"/>
    <w:rsid w:val="007C298F"/>
    <w:rsid w:val="007C7766"/>
    <w:rsid w:val="007D0A4D"/>
    <w:rsid w:val="007D17B8"/>
    <w:rsid w:val="007D461F"/>
    <w:rsid w:val="007D54ED"/>
    <w:rsid w:val="007E413E"/>
    <w:rsid w:val="007E4674"/>
    <w:rsid w:val="007E4C71"/>
    <w:rsid w:val="007E615D"/>
    <w:rsid w:val="007E6873"/>
    <w:rsid w:val="007F3B8D"/>
    <w:rsid w:val="00807D60"/>
    <w:rsid w:val="00814152"/>
    <w:rsid w:val="00817F15"/>
    <w:rsid w:val="00832394"/>
    <w:rsid w:val="00836788"/>
    <w:rsid w:val="00837211"/>
    <w:rsid w:val="00837A19"/>
    <w:rsid w:val="008617A2"/>
    <w:rsid w:val="00871F27"/>
    <w:rsid w:val="00874DD0"/>
    <w:rsid w:val="00876F2D"/>
    <w:rsid w:val="008804E7"/>
    <w:rsid w:val="008811B3"/>
    <w:rsid w:val="00883EA5"/>
    <w:rsid w:val="00891C41"/>
    <w:rsid w:val="00894969"/>
    <w:rsid w:val="008B11C4"/>
    <w:rsid w:val="008B21D9"/>
    <w:rsid w:val="008B39FA"/>
    <w:rsid w:val="008C0DE3"/>
    <w:rsid w:val="008C464B"/>
    <w:rsid w:val="008C7D98"/>
    <w:rsid w:val="008D061F"/>
    <w:rsid w:val="008D4510"/>
    <w:rsid w:val="008D584C"/>
    <w:rsid w:val="008E46DC"/>
    <w:rsid w:val="008F1A31"/>
    <w:rsid w:val="00903792"/>
    <w:rsid w:val="00904335"/>
    <w:rsid w:val="00920DAB"/>
    <w:rsid w:val="009264C2"/>
    <w:rsid w:val="00927B7A"/>
    <w:rsid w:val="00930CB1"/>
    <w:rsid w:val="00931922"/>
    <w:rsid w:val="00935788"/>
    <w:rsid w:val="009371A1"/>
    <w:rsid w:val="00940D4E"/>
    <w:rsid w:val="009446A4"/>
    <w:rsid w:val="00946449"/>
    <w:rsid w:val="00946FD3"/>
    <w:rsid w:val="009524BB"/>
    <w:rsid w:val="0095372E"/>
    <w:rsid w:val="0096091F"/>
    <w:rsid w:val="00961B38"/>
    <w:rsid w:val="00966C04"/>
    <w:rsid w:val="00977175"/>
    <w:rsid w:val="009905E8"/>
    <w:rsid w:val="00990971"/>
    <w:rsid w:val="009930CA"/>
    <w:rsid w:val="00993CCE"/>
    <w:rsid w:val="009A4155"/>
    <w:rsid w:val="009A4F1C"/>
    <w:rsid w:val="009A5615"/>
    <w:rsid w:val="009B029B"/>
    <w:rsid w:val="009B2C81"/>
    <w:rsid w:val="009B3088"/>
    <w:rsid w:val="009B37A4"/>
    <w:rsid w:val="009C372B"/>
    <w:rsid w:val="009D083C"/>
    <w:rsid w:val="009D0935"/>
    <w:rsid w:val="009E3F75"/>
    <w:rsid w:val="009F09C6"/>
    <w:rsid w:val="009F6390"/>
    <w:rsid w:val="009F766D"/>
    <w:rsid w:val="00A0010C"/>
    <w:rsid w:val="00A0292D"/>
    <w:rsid w:val="00A02B9E"/>
    <w:rsid w:val="00A05AE5"/>
    <w:rsid w:val="00A10ADD"/>
    <w:rsid w:val="00A10CE7"/>
    <w:rsid w:val="00A141EF"/>
    <w:rsid w:val="00A14CED"/>
    <w:rsid w:val="00A15359"/>
    <w:rsid w:val="00A256F4"/>
    <w:rsid w:val="00A27A92"/>
    <w:rsid w:val="00A363AA"/>
    <w:rsid w:val="00A45A3D"/>
    <w:rsid w:val="00A53237"/>
    <w:rsid w:val="00A570C6"/>
    <w:rsid w:val="00A6212E"/>
    <w:rsid w:val="00A62E7B"/>
    <w:rsid w:val="00A647DF"/>
    <w:rsid w:val="00A705B0"/>
    <w:rsid w:val="00A802F4"/>
    <w:rsid w:val="00A82804"/>
    <w:rsid w:val="00A96632"/>
    <w:rsid w:val="00AA19FD"/>
    <w:rsid w:val="00AA287E"/>
    <w:rsid w:val="00AC6F11"/>
    <w:rsid w:val="00AC7EEE"/>
    <w:rsid w:val="00AD2176"/>
    <w:rsid w:val="00AD786B"/>
    <w:rsid w:val="00AD7BE8"/>
    <w:rsid w:val="00AF0047"/>
    <w:rsid w:val="00AF3822"/>
    <w:rsid w:val="00AF40A6"/>
    <w:rsid w:val="00B056D5"/>
    <w:rsid w:val="00B226E6"/>
    <w:rsid w:val="00B2384E"/>
    <w:rsid w:val="00B25B2C"/>
    <w:rsid w:val="00B31780"/>
    <w:rsid w:val="00B333F1"/>
    <w:rsid w:val="00B43621"/>
    <w:rsid w:val="00B445E1"/>
    <w:rsid w:val="00B44EEF"/>
    <w:rsid w:val="00B51EF3"/>
    <w:rsid w:val="00B527E0"/>
    <w:rsid w:val="00B54010"/>
    <w:rsid w:val="00B57D26"/>
    <w:rsid w:val="00B60975"/>
    <w:rsid w:val="00B744C4"/>
    <w:rsid w:val="00B759B5"/>
    <w:rsid w:val="00B75AC9"/>
    <w:rsid w:val="00B76EAC"/>
    <w:rsid w:val="00B807D4"/>
    <w:rsid w:val="00B83ED7"/>
    <w:rsid w:val="00B93BF2"/>
    <w:rsid w:val="00BA18EA"/>
    <w:rsid w:val="00BA2872"/>
    <w:rsid w:val="00BA7D3D"/>
    <w:rsid w:val="00BA7E04"/>
    <w:rsid w:val="00BB3DCF"/>
    <w:rsid w:val="00BB4738"/>
    <w:rsid w:val="00BC0DF8"/>
    <w:rsid w:val="00BC2377"/>
    <w:rsid w:val="00BC3F12"/>
    <w:rsid w:val="00BD78AA"/>
    <w:rsid w:val="00BE1888"/>
    <w:rsid w:val="00BE56DF"/>
    <w:rsid w:val="00BE6AAC"/>
    <w:rsid w:val="00BE6D7F"/>
    <w:rsid w:val="00BE704F"/>
    <w:rsid w:val="00BF3932"/>
    <w:rsid w:val="00BF523B"/>
    <w:rsid w:val="00BF5D1D"/>
    <w:rsid w:val="00C00E63"/>
    <w:rsid w:val="00C043A1"/>
    <w:rsid w:val="00C10506"/>
    <w:rsid w:val="00C12802"/>
    <w:rsid w:val="00C14A27"/>
    <w:rsid w:val="00C22B48"/>
    <w:rsid w:val="00C27032"/>
    <w:rsid w:val="00C368FA"/>
    <w:rsid w:val="00C3746B"/>
    <w:rsid w:val="00C510F3"/>
    <w:rsid w:val="00C60BA3"/>
    <w:rsid w:val="00C60D97"/>
    <w:rsid w:val="00C65ECA"/>
    <w:rsid w:val="00C71695"/>
    <w:rsid w:val="00C94612"/>
    <w:rsid w:val="00C96C84"/>
    <w:rsid w:val="00CA712F"/>
    <w:rsid w:val="00CA7872"/>
    <w:rsid w:val="00CB61B2"/>
    <w:rsid w:val="00CC19AE"/>
    <w:rsid w:val="00CC5B85"/>
    <w:rsid w:val="00CD2810"/>
    <w:rsid w:val="00CD30AB"/>
    <w:rsid w:val="00CD4B4B"/>
    <w:rsid w:val="00CD5C38"/>
    <w:rsid w:val="00CD7E46"/>
    <w:rsid w:val="00CE3B74"/>
    <w:rsid w:val="00CE3DFF"/>
    <w:rsid w:val="00CE3ECB"/>
    <w:rsid w:val="00CE6CB1"/>
    <w:rsid w:val="00CE7B7A"/>
    <w:rsid w:val="00CE7DF2"/>
    <w:rsid w:val="00CF0878"/>
    <w:rsid w:val="00CF7289"/>
    <w:rsid w:val="00D00384"/>
    <w:rsid w:val="00D032CF"/>
    <w:rsid w:val="00D119C0"/>
    <w:rsid w:val="00D1263B"/>
    <w:rsid w:val="00D22832"/>
    <w:rsid w:val="00D22CED"/>
    <w:rsid w:val="00D24690"/>
    <w:rsid w:val="00D24A05"/>
    <w:rsid w:val="00D277BC"/>
    <w:rsid w:val="00D403FC"/>
    <w:rsid w:val="00D41406"/>
    <w:rsid w:val="00D45F5C"/>
    <w:rsid w:val="00D5053F"/>
    <w:rsid w:val="00D51046"/>
    <w:rsid w:val="00D5248B"/>
    <w:rsid w:val="00D53250"/>
    <w:rsid w:val="00D647F2"/>
    <w:rsid w:val="00D64F98"/>
    <w:rsid w:val="00D72B41"/>
    <w:rsid w:val="00D75503"/>
    <w:rsid w:val="00D82612"/>
    <w:rsid w:val="00D86798"/>
    <w:rsid w:val="00D93D60"/>
    <w:rsid w:val="00D94C5B"/>
    <w:rsid w:val="00DA1DE1"/>
    <w:rsid w:val="00DA274A"/>
    <w:rsid w:val="00DA6E1F"/>
    <w:rsid w:val="00DC13DE"/>
    <w:rsid w:val="00DD15B3"/>
    <w:rsid w:val="00DD2E39"/>
    <w:rsid w:val="00DF2A6C"/>
    <w:rsid w:val="00DF2C65"/>
    <w:rsid w:val="00E02192"/>
    <w:rsid w:val="00E05A7B"/>
    <w:rsid w:val="00E05C46"/>
    <w:rsid w:val="00E067C5"/>
    <w:rsid w:val="00E14FC1"/>
    <w:rsid w:val="00E242FB"/>
    <w:rsid w:val="00E27F96"/>
    <w:rsid w:val="00E37E4A"/>
    <w:rsid w:val="00E45B4F"/>
    <w:rsid w:val="00E47068"/>
    <w:rsid w:val="00E52423"/>
    <w:rsid w:val="00E527F4"/>
    <w:rsid w:val="00E55EFA"/>
    <w:rsid w:val="00E56977"/>
    <w:rsid w:val="00E61D3D"/>
    <w:rsid w:val="00E632A9"/>
    <w:rsid w:val="00E63C7D"/>
    <w:rsid w:val="00E66BB0"/>
    <w:rsid w:val="00E70DD9"/>
    <w:rsid w:val="00E7124F"/>
    <w:rsid w:val="00E81BDD"/>
    <w:rsid w:val="00E91CC2"/>
    <w:rsid w:val="00EA1D58"/>
    <w:rsid w:val="00EA42DE"/>
    <w:rsid w:val="00EA4B1F"/>
    <w:rsid w:val="00EA61EF"/>
    <w:rsid w:val="00EA6415"/>
    <w:rsid w:val="00EB3F34"/>
    <w:rsid w:val="00EC08EF"/>
    <w:rsid w:val="00EC23A5"/>
    <w:rsid w:val="00ED7100"/>
    <w:rsid w:val="00ED71CE"/>
    <w:rsid w:val="00EE308B"/>
    <w:rsid w:val="00EE3BD6"/>
    <w:rsid w:val="00EE4674"/>
    <w:rsid w:val="00EF7889"/>
    <w:rsid w:val="00F027A9"/>
    <w:rsid w:val="00F045EB"/>
    <w:rsid w:val="00F04EDF"/>
    <w:rsid w:val="00F07F12"/>
    <w:rsid w:val="00F12701"/>
    <w:rsid w:val="00F14041"/>
    <w:rsid w:val="00F143DE"/>
    <w:rsid w:val="00F14B00"/>
    <w:rsid w:val="00F14D0A"/>
    <w:rsid w:val="00F17596"/>
    <w:rsid w:val="00F23D7E"/>
    <w:rsid w:val="00F25E93"/>
    <w:rsid w:val="00F3224B"/>
    <w:rsid w:val="00F45109"/>
    <w:rsid w:val="00F457A7"/>
    <w:rsid w:val="00F53F0E"/>
    <w:rsid w:val="00F622F5"/>
    <w:rsid w:val="00F676DF"/>
    <w:rsid w:val="00F7043E"/>
    <w:rsid w:val="00F71F83"/>
    <w:rsid w:val="00F7283F"/>
    <w:rsid w:val="00F877B3"/>
    <w:rsid w:val="00FA0EEC"/>
    <w:rsid w:val="00FA1FC7"/>
    <w:rsid w:val="00FA266D"/>
    <w:rsid w:val="00FA40F7"/>
    <w:rsid w:val="00FB0D8B"/>
    <w:rsid w:val="00FB56B8"/>
    <w:rsid w:val="00FB5A76"/>
    <w:rsid w:val="00FB7713"/>
    <w:rsid w:val="00FB7B6D"/>
    <w:rsid w:val="00FC0AD2"/>
    <w:rsid w:val="00FC2DCC"/>
    <w:rsid w:val="00FE03B4"/>
    <w:rsid w:val="00FE1F1F"/>
    <w:rsid w:val="00FF2425"/>
    <w:rsid w:val="00FF30B0"/>
    <w:rsid w:val="00FF375E"/>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F1F47C-CDD1-4C9C-A8A3-85FAB427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63"/>
    <w:rPr>
      <w:sz w:val="24"/>
      <w:szCs w:val="24"/>
    </w:rPr>
  </w:style>
  <w:style w:type="paragraph" w:styleId="Heading1">
    <w:name w:val="heading 1"/>
    <w:aliases w:val="1 ghost,g"/>
    <w:basedOn w:val="Normal"/>
    <w:next w:val="Normal"/>
    <w:link w:val="Heading1Char"/>
    <w:uiPriority w:val="99"/>
    <w:qFormat/>
    <w:rsid w:val="00C00E63"/>
    <w:pPr>
      <w:keepNext/>
      <w:jc w:val="center"/>
      <w:outlineLvl w:val="0"/>
    </w:pPr>
    <w:rPr>
      <w:b/>
      <w:bCs/>
      <w:sz w:val="26"/>
      <w:szCs w:val="26"/>
    </w:rPr>
  </w:style>
  <w:style w:type="paragraph" w:styleId="Heading2">
    <w:name w:val="heading 2"/>
    <w:basedOn w:val="Normal"/>
    <w:next w:val="Normal"/>
    <w:link w:val="Heading2Char"/>
    <w:uiPriority w:val="99"/>
    <w:qFormat/>
    <w:rsid w:val="00C00E63"/>
    <w:pPr>
      <w:keepNext/>
      <w:jc w:val="center"/>
      <w:outlineLvl w:val="1"/>
    </w:pPr>
    <w:rPr>
      <w:b/>
      <w:bCs/>
      <w:sz w:val="26"/>
    </w:rPr>
  </w:style>
  <w:style w:type="paragraph" w:styleId="Heading4">
    <w:name w:val="heading 4"/>
    <w:basedOn w:val="Normal"/>
    <w:next w:val="Normal"/>
    <w:link w:val="Heading4Char"/>
    <w:uiPriority w:val="99"/>
    <w:qFormat/>
    <w:rsid w:val="00C00E63"/>
    <w:pPr>
      <w:keepNext/>
      <w:jc w:val="center"/>
      <w:outlineLvl w:val="3"/>
    </w:pPr>
    <w:rPr>
      <w:b/>
      <w:bCs/>
      <w:sz w:val="28"/>
      <w:szCs w:val="28"/>
    </w:rPr>
  </w:style>
  <w:style w:type="paragraph" w:styleId="Heading5">
    <w:name w:val="heading 5"/>
    <w:basedOn w:val="Normal"/>
    <w:next w:val="Normal"/>
    <w:link w:val="Heading5Char"/>
    <w:uiPriority w:val="99"/>
    <w:qFormat/>
    <w:rsid w:val="00C00E63"/>
    <w:pPr>
      <w:keepNext/>
      <w:ind w:right="-235"/>
      <w:outlineLvl w:val="4"/>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uiPriority w:val="99"/>
    <w:locked/>
    <w:rsid w:val="006B3DEB"/>
    <w:rPr>
      <w:rFonts w:ascii="Cambria" w:hAnsi="Cambria" w:cs="Times New Roman"/>
      <w:b/>
      <w:bCs/>
      <w:kern w:val="32"/>
      <w:sz w:val="32"/>
      <w:szCs w:val="32"/>
    </w:rPr>
  </w:style>
  <w:style w:type="character" w:customStyle="1" w:styleId="Heading2Char">
    <w:name w:val="Heading 2 Char"/>
    <w:link w:val="Heading2"/>
    <w:uiPriority w:val="99"/>
    <w:semiHidden/>
    <w:locked/>
    <w:rsid w:val="006B3DEB"/>
    <w:rPr>
      <w:rFonts w:ascii="Cambria" w:hAnsi="Cambria" w:cs="Times New Roman"/>
      <w:b/>
      <w:bCs/>
      <w:i/>
      <w:iCs/>
      <w:sz w:val="28"/>
      <w:szCs w:val="28"/>
    </w:rPr>
  </w:style>
  <w:style w:type="character" w:customStyle="1" w:styleId="Heading4Char">
    <w:name w:val="Heading 4 Char"/>
    <w:link w:val="Heading4"/>
    <w:uiPriority w:val="99"/>
    <w:semiHidden/>
    <w:locked/>
    <w:rsid w:val="006B3DEB"/>
    <w:rPr>
      <w:rFonts w:ascii="Calibri" w:hAnsi="Calibri" w:cs="Times New Roman"/>
      <w:b/>
      <w:bCs/>
      <w:sz w:val="28"/>
      <w:szCs w:val="28"/>
    </w:rPr>
  </w:style>
  <w:style w:type="character" w:customStyle="1" w:styleId="Heading5Char">
    <w:name w:val="Heading 5 Char"/>
    <w:link w:val="Heading5"/>
    <w:uiPriority w:val="99"/>
    <w:semiHidden/>
    <w:locked/>
    <w:rsid w:val="006B3DEB"/>
    <w:rPr>
      <w:rFonts w:ascii="Calibri" w:hAnsi="Calibri" w:cs="Times New Roman"/>
      <w:b/>
      <w:bCs/>
      <w:i/>
      <w:iCs/>
      <w:sz w:val="26"/>
      <w:szCs w:val="26"/>
    </w:rPr>
  </w:style>
  <w:style w:type="paragraph" w:styleId="BodyTextIndent2">
    <w:name w:val="Body Text Indent 2"/>
    <w:basedOn w:val="Normal"/>
    <w:link w:val="BodyTextIndent2Char"/>
    <w:uiPriority w:val="99"/>
    <w:rsid w:val="00C00E63"/>
    <w:pPr>
      <w:spacing w:before="20" w:after="20"/>
      <w:ind w:firstLine="808"/>
      <w:jc w:val="both"/>
    </w:pPr>
    <w:rPr>
      <w:sz w:val="28"/>
    </w:rPr>
  </w:style>
  <w:style w:type="character" w:customStyle="1" w:styleId="BodyTextIndent2Char">
    <w:name w:val="Body Text Indent 2 Char"/>
    <w:link w:val="BodyTextIndent2"/>
    <w:uiPriority w:val="99"/>
    <w:semiHidden/>
    <w:locked/>
    <w:rsid w:val="006B3DEB"/>
    <w:rPr>
      <w:rFonts w:cs="Times New Roman"/>
      <w:sz w:val="24"/>
      <w:szCs w:val="24"/>
    </w:rPr>
  </w:style>
  <w:style w:type="paragraph" w:styleId="BodyText3">
    <w:name w:val="Body Text 3"/>
    <w:basedOn w:val="Normal"/>
    <w:link w:val="BodyText3Char"/>
    <w:rsid w:val="00C00E63"/>
    <w:pPr>
      <w:autoSpaceDE w:val="0"/>
      <w:autoSpaceDN w:val="0"/>
      <w:adjustRightInd w:val="0"/>
      <w:jc w:val="center"/>
    </w:pPr>
    <w:rPr>
      <w:b/>
      <w:bCs/>
      <w:color w:val="000000"/>
      <w:sz w:val="26"/>
      <w:szCs w:val="28"/>
    </w:rPr>
  </w:style>
  <w:style w:type="character" w:customStyle="1" w:styleId="BodyText3Char">
    <w:name w:val="Body Text 3 Char"/>
    <w:link w:val="BodyText3"/>
    <w:uiPriority w:val="99"/>
    <w:semiHidden/>
    <w:locked/>
    <w:rsid w:val="006B3DEB"/>
    <w:rPr>
      <w:rFonts w:cs="Times New Roman"/>
      <w:sz w:val="16"/>
      <w:szCs w:val="16"/>
    </w:rPr>
  </w:style>
  <w:style w:type="table" w:styleId="TableGrid">
    <w:name w:val="Table Grid"/>
    <w:basedOn w:val="TableNormal"/>
    <w:uiPriority w:val="99"/>
    <w:rsid w:val="00C0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E3DFF"/>
    <w:pPr>
      <w:ind w:left="720"/>
      <w:contextualSpacing/>
    </w:pPr>
  </w:style>
  <w:style w:type="paragraph" w:styleId="FootnoteText">
    <w:name w:val="footnote text"/>
    <w:basedOn w:val="Normal"/>
    <w:link w:val="FootnoteTextChar"/>
    <w:uiPriority w:val="99"/>
    <w:rsid w:val="00CE3DFF"/>
    <w:rPr>
      <w:sz w:val="20"/>
      <w:szCs w:val="20"/>
    </w:rPr>
  </w:style>
  <w:style w:type="character" w:customStyle="1" w:styleId="FootnoteTextChar">
    <w:name w:val="Footnote Text Char"/>
    <w:link w:val="FootnoteText"/>
    <w:uiPriority w:val="99"/>
    <w:locked/>
    <w:rsid w:val="00CE3DFF"/>
    <w:rPr>
      <w:rFonts w:cs="Times New Roman"/>
    </w:rPr>
  </w:style>
  <w:style w:type="character" w:styleId="FootnoteReference">
    <w:name w:val="footnote reference"/>
    <w:uiPriority w:val="99"/>
    <w:rsid w:val="00CE3DFF"/>
    <w:rPr>
      <w:rFonts w:cs="Times New Roman"/>
      <w:vertAlign w:val="superscript"/>
    </w:rPr>
  </w:style>
  <w:style w:type="paragraph" w:styleId="BodyText">
    <w:name w:val="Body Text"/>
    <w:basedOn w:val="Normal"/>
    <w:link w:val="BodyTextChar"/>
    <w:uiPriority w:val="99"/>
    <w:semiHidden/>
    <w:unhideWhenUsed/>
    <w:rsid w:val="00BC2377"/>
    <w:pPr>
      <w:spacing w:after="120"/>
    </w:pPr>
  </w:style>
  <w:style w:type="character" w:customStyle="1" w:styleId="BodyTextChar">
    <w:name w:val="Body Text Char"/>
    <w:link w:val="BodyText"/>
    <w:uiPriority w:val="99"/>
    <w:semiHidden/>
    <w:rsid w:val="00BC2377"/>
    <w:rPr>
      <w:sz w:val="24"/>
      <w:szCs w:val="24"/>
    </w:rPr>
  </w:style>
  <w:style w:type="paragraph" w:styleId="BalloonText">
    <w:name w:val="Balloon Text"/>
    <w:basedOn w:val="Normal"/>
    <w:link w:val="BalloonTextChar"/>
    <w:uiPriority w:val="99"/>
    <w:semiHidden/>
    <w:unhideWhenUsed/>
    <w:rsid w:val="007E615D"/>
    <w:rPr>
      <w:rFonts w:ascii="Tahoma" w:hAnsi="Tahoma" w:cs="Tahoma"/>
      <w:sz w:val="16"/>
      <w:szCs w:val="16"/>
    </w:rPr>
  </w:style>
  <w:style w:type="character" w:customStyle="1" w:styleId="BalloonTextChar">
    <w:name w:val="Balloon Text Char"/>
    <w:link w:val="BalloonText"/>
    <w:uiPriority w:val="99"/>
    <w:semiHidden/>
    <w:rsid w:val="007E615D"/>
    <w:rPr>
      <w:rFonts w:ascii="Tahoma" w:hAnsi="Tahoma" w:cs="Tahoma"/>
      <w:sz w:val="16"/>
      <w:szCs w:val="16"/>
    </w:rPr>
  </w:style>
  <w:style w:type="paragraph" w:styleId="NormalWeb">
    <w:name w:val="Normal (Web)"/>
    <w:basedOn w:val="Normal"/>
    <w:uiPriority w:val="99"/>
    <w:unhideWhenUsed/>
    <w:rsid w:val="009B37A4"/>
    <w:pPr>
      <w:spacing w:before="100" w:beforeAutospacing="1" w:after="100" w:afterAutospacing="1"/>
    </w:pPr>
  </w:style>
  <w:style w:type="character" w:styleId="Hyperlink">
    <w:name w:val="Hyperlink"/>
    <w:uiPriority w:val="99"/>
    <w:semiHidden/>
    <w:unhideWhenUsed/>
    <w:rsid w:val="009B37A4"/>
    <w:rPr>
      <w:color w:val="0000FF"/>
      <w:u w:val="single"/>
    </w:rPr>
  </w:style>
  <w:style w:type="paragraph" w:customStyle="1" w:styleId="Gachdaudong">
    <w:name w:val="Gach dau dong"/>
    <w:basedOn w:val="Normal"/>
    <w:link w:val="GachdaudongChar"/>
    <w:rsid w:val="00876F2D"/>
    <w:pPr>
      <w:numPr>
        <w:numId w:val="1"/>
      </w:numPr>
      <w:spacing w:before="60" w:line="320" w:lineRule="exact"/>
      <w:jc w:val="both"/>
    </w:pPr>
    <w:rPr>
      <w:color w:val="0000FF"/>
      <w:sz w:val="28"/>
      <w:szCs w:val="28"/>
    </w:rPr>
  </w:style>
  <w:style w:type="character" w:customStyle="1" w:styleId="GachdaudongChar">
    <w:name w:val="Gach dau dong Char"/>
    <w:link w:val="Gachdaudong"/>
    <w:locked/>
    <w:rsid w:val="00876F2D"/>
    <w:rPr>
      <w:color w:val="0000FF"/>
      <w:sz w:val="28"/>
      <w:szCs w:val="28"/>
    </w:rPr>
  </w:style>
  <w:style w:type="paragraph" w:styleId="BodyTextIndent">
    <w:name w:val="Body Text Indent"/>
    <w:basedOn w:val="Normal"/>
    <w:link w:val="BodyTextIndentChar"/>
    <w:uiPriority w:val="99"/>
    <w:semiHidden/>
    <w:unhideWhenUsed/>
    <w:rsid w:val="00F877B3"/>
    <w:pPr>
      <w:spacing w:after="120"/>
      <w:ind w:left="360"/>
    </w:pPr>
  </w:style>
  <w:style w:type="character" w:customStyle="1" w:styleId="BodyTextIndentChar">
    <w:name w:val="Body Text Indent Char"/>
    <w:basedOn w:val="DefaultParagraphFont"/>
    <w:link w:val="BodyTextIndent"/>
    <w:uiPriority w:val="99"/>
    <w:semiHidden/>
    <w:rsid w:val="00F87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1155">
      <w:bodyDiv w:val="1"/>
      <w:marLeft w:val="0"/>
      <w:marRight w:val="0"/>
      <w:marTop w:val="0"/>
      <w:marBottom w:val="0"/>
      <w:divBdr>
        <w:top w:val="none" w:sz="0" w:space="0" w:color="auto"/>
        <w:left w:val="none" w:sz="0" w:space="0" w:color="auto"/>
        <w:bottom w:val="none" w:sz="0" w:space="0" w:color="auto"/>
        <w:right w:val="none" w:sz="0" w:space="0" w:color="auto"/>
      </w:divBdr>
    </w:div>
    <w:div w:id="535896109">
      <w:bodyDiv w:val="1"/>
      <w:marLeft w:val="0"/>
      <w:marRight w:val="0"/>
      <w:marTop w:val="0"/>
      <w:marBottom w:val="0"/>
      <w:divBdr>
        <w:top w:val="none" w:sz="0" w:space="0" w:color="auto"/>
        <w:left w:val="none" w:sz="0" w:space="0" w:color="auto"/>
        <w:bottom w:val="none" w:sz="0" w:space="0" w:color="auto"/>
        <w:right w:val="none" w:sz="0" w:space="0" w:color="auto"/>
      </w:divBdr>
    </w:div>
    <w:div w:id="1121190616">
      <w:bodyDiv w:val="1"/>
      <w:marLeft w:val="0"/>
      <w:marRight w:val="0"/>
      <w:marTop w:val="0"/>
      <w:marBottom w:val="0"/>
      <w:divBdr>
        <w:top w:val="none" w:sz="0" w:space="0" w:color="auto"/>
        <w:left w:val="none" w:sz="0" w:space="0" w:color="auto"/>
        <w:bottom w:val="none" w:sz="0" w:space="0" w:color="auto"/>
        <w:right w:val="none" w:sz="0" w:space="0" w:color="auto"/>
      </w:divBdr>
    </w:div>
    <w:div w:id="155295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F46D-77B2-4137-B836-E1057845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HOANG KHIEN</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Sky123.Org</dc:creator>
  <cp:lastModifiedBy>SAO VIET HUE</cp:lastModifiedBy>
  <cp:revision>3</cp:revision>
  <cp:lastPrinted>2023-08-30T04:32:00Z</cp:lastPrinted>
  <dcterms:created xsi:type="dcterms:W3CDTF">2023-09-05T03:18:00Z</dcterms:created>
  <dcterms:modified xsi:type="dcterms:W3CDTF">2023-09-13T02:18:00Z</dcterms:modified>
</cp:coreProperties>
</file>